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42CF9" w14:textId="7E77E5F4" w:rsidR="0038536F" w:rsidRPr="001B7941" w:rsidRDefault="0038536F" w:rsidP="00FE61B0">
      <w:pPr>
        <w:tabs>
          <w:tab w:val="left" w:pos="-1440"/>
          <w:tab w:val="left" w:pos="-720"/>
        </w:tabs>
        <w:spacing w:before="120" w:after="600"/>
        <w:jc w:val="center"/>
        <w:rPr>
          <w:b/>
          <w:sz w:val="22"/>
          <w:szCs w:val="22"/>
        </w:rPr>
      </w:pPr>
      <w:r>
        <w:rPr>
          <w:b/>
          <w:highlight w:val="yellow"/>
        </w:rPr>
        <w:t>APPENDICE I – À inclure dans les conditions particulières (point 7.3 et/ou point 7.4) lorsque l’un des bénéficiaires est une organisation internationale/une organisation dont les piliers ont été évalués</w:t>
      </w:r>
      <w:r w:rsidR="00842EDC">
        <w:rPr>
          <w:rStyle w:val="FootnoteReference"/>
          <w:b/>
          <w:highlight w:val="yellow"/>
        </w:rPr>
        <w:footnoteReference w:id="1"/>
      </w:r>
      <w:r>
        <w:rPr>
          <w:b/>
          <w:highlight w:val="yellow"/>
        </w:rPr>
        <w:t>.</w:t>
      </w:r>
    </w:p>
    <w:p w14:paraId="1B5E06D4" w14:textId="3665C8FB" w:rsidR="0038536F" w:rsidRDefault="0038536F" w:rsidP="00FE61B0">
      <w:pPr>
        <w:tabs>
          <w:tab w:val="left" w:pos="-1440"/>
          <w:tab w:val="left" w:pos="-720"/>
        </w:tabs>
        <w:spacing w:before="120" w:after="240"/>
        <w:ind w:left="567" w:hanging="567"/>
        <w:jc w:val="both"/>
        <w:rPr>
          <w:sz w:val="22"/>
          <w:szCs w:val="22"/>
        </w:rPr>
      </w:pPr>
      <w:r>
        <w:rPr>
          <w:sz w:val="22"/>
        </w:rPr>
        <w:t>7.3</w:t>
      </w:r>
      <w:r>
        <w:rPr>
          <w:sz w:val="22"/>
        </w:rPr>
        <w:tab/>
        <w:t xml:space="preserve">Les modifications de l’annexe II suivantes s’appliquent: </w:t>
      </w:r>
      <w:r>
        <w:rPr>
          <w:sz w:val="22"/>
          <w:highlight w:val="yellow"/>
        </w:rPr>
        <w:t>&lt;indiquer l’organisation ou les organisations internationale(s) qui est/sont bénéficiaire(s) de la subvention&gt;</w:t>
      </w:r>
      <w:r>
        <w:rPr>
          <w:sz w:val="22"/>
        </w:rPr>
        <w:t xml:space="preserve"> (ci-après l’«organisation»)</w:t>
      </w:r>
      <w:r w:rsidR="003C7E64" w:rsidRPr="00FE61B0">
        <w:rPr>
          <w:rStyle w:val="FootnoteReference"/>
          <w:szCs w:val="22"/>
          <w:highlight w:val="yellow"/>
        </w:rPr>
        <w:footnoteReference w:id="2"/>
      </w:r>
    </w:p>
    <w:p w14:paraId="0138B99A" w14:textId="79DC23E4" w:rsidR="0038536F" w:rsidRDefault="0038536F" w:rsidP="00FE61B0">
      <w:pPr>
        <w:numPr>
          <w:ilvl w:val="0"/>
          <w:numId w:val="32"/>
        </w:numPr>
        <w:spacing w:before="120"/>
        <w:ind w:left="1134"/>
        <w:jc w:val="both"/>
        <w:rPr>
          <w:sz w:val="22"/>
          <w:szCs w:val="22"/>
        </w:rPr>
      </w:pPr>
      <w:r>
        <w:rPr>
          <w:sz w:val="22"/>
        </w:rPr>
        <w:t>Rien dans le présent contrat ne saurait être interprété comme une renonciation à des privilèges ou immunités dont jouit l’organisation ou à un accord spécifique, notamment en matière de vérification, conclu à cet égard avec l’Union européenne.</w:t>
      </w:r>
    </w:p>
    <w:p w14:paraId="245FC5ED" w14:textId="16F2BDCF" w:rsidR="0038536F" w:rsidRPr="00C22FFB" w:rsidRDefault="0038536F" w:rsidP="0038536F">
      <w:pPr>
        <w:numPr>
          <w:ilvl w:val="0"/>
          <w:numId w:val="32"/>
        </w:numPr>
        <w:spacing w:before="120"/>
        <w:ind w:left="1134"/>
        <w:jc w:val="both"/>
        <w:rPr>
          <w:sz w:val="22"/>
          <w:szCs w:val="22"/>
        </w:rPr>
      </w:pPr>
      <w:r>
        <w:rPr>
          <w:sz w:val="22"/>
        </w:rPr>
        <w:t>L’article 3 de l’annexe II est complété comme suit:</w:t>
      </w:r>
    </w:p>
    <w:p w14:paraId="0938DB4F" w14:textId="79687035" w:rsidR="00FA25E8" w:rsidRDefault="003C7E64" w:rsidP="0054622E">
      <w:pPr>
        <w:spacing w:before="120"/>
        <w:ind w:left="1134"/>
        <w:jc w:val="both"/>
        <w:rPr>
          <w:sz w:val="22"/>
          <w:szCs w:val="22"/>
        </w:rPr>
      </w:pPr>
      <w:r>
        <w:rPr>
          <w:sz w:val="22"/>
        </w:rPr>
        <w:t>«</w:t>
      </w:r>
      <w:r>
        <w:rPr>
          <w:i/>
          <w:sz w:val="22"/>
        </w:rPr>
        <w:t>La responsabilité de l’organisation est soumise au régime des privilèges et immunités de l’organisation</w:t>
      </w:r>
      <w:r>
        <w:rPr>
          <w:sz w:val="22"/>
        </w:rPr>
        <w:t>.»</w:t>
      </w:r>
    </w:p>
    <w:p w14:paraId="654220BE" w14:textId="0B553580" w:rsidR="0038536F" w:rsidRPr="00C22FFB" w:rsidRDefault="0038536F" w:rsidP="001604A5">
      <w:pPr>
        <w:numPr>
          <w:ilvl w:val="0"/>
          <w:numId w:val="32"/>
        </w:numPr>
        <w:spacing w:before="120" w:after="80"/>
        <w:ind w:left="1134" w:hanging="357"/>
        <w:jc w:val="both"/>
        <w:rPr>
          <w:sz w:val="22"/>
          <w:szCs w:val="22"/>
        </w:rPr>
      </w:pPr>
      <w:r>
        <w:rPr>
          <w:sz w:val="22"/>
        </w:rPr>
        <w:t>L’article 6 de l’annexe II est complété comme suit:</w:t>
      </w:r>
    </w:p>
    <w:p w14:paraId="34EEF7F5" w14:textId="72363996" w:rsidR="0038536F" w:rsidRDefault="003C7E64" w:rsidP="00033011">
      <w:pPr>
        <w:spacing w:before="120" w:after="120"/>
        <w:ind w:left="1134"/>
        <w:jc w:val="both"/>
        <w:rPr>
          <w:sz w:val="22"/>
          <w:szCs w:val="22"/>
        </w:rPr>
      </w:pPr>
      <w:r>
        <w:rPr>
          <w:sz w:val="22"/>
        </w:rPr>
        <w:t>«</w:t>
      </w:r>
      <w:r>
        <w:rPr>
          <w:i/>
          <w:sz w:val="22"/>
        </w:rPr>
        <w:t>L’emblème et les autres indications de propriété apposés de manière visible sur l’équipement et les véhicules de l’organisation peuvent continuer à y figurer normalement. Si, au cours de la mise en œuvre de l’action, des équipements, des véhicules ou des fournitures importantes sont achetés, l’organisation doit le faire savoir de manière appropriée sur ces véhicules, équipements et fournitures importantes (notamment en y apposant l’emblème de l’Union européenne). Lorsqu’un tel affichage risque de compromettre les privilèges et immunités, ou la sûreté et la sécurité du personnel de l’organisation ou des bénéficiaires finaux, l’organisation propose d’autres formules adéquates. L’indication du financement par l’Union européenne et l’affichage de l’emblème de cette dernière doivent être clairement visibles, d’une manière qui ne crée pas de confusion concernant l’identification de l’action comme une activité de l’organisation, le fait que l’équipement et les fournitures sont la propriété de l’organisation et le fait que les privilèges et immunités de l’organisation s’appliquent à l’action</w:t>
      </w:r>
      <w:r>
        <w:rPr>
          <w:sz w:val="22"/>
        </w:rPr>
        <w:t>.»</w:t>
      </w:r>
    </w:p>
    <w:p w14:paraId="4EAB512A" w14:textId="560A1CD5" w:rsidR="0038536F" w:rsidRPr="00715EEC" w:rsidRDefault="0038536F" w:rsidP="0038536F">
      <w:pPr>
        <w:numPr>
          <w:ilvl w:val="0"/>
          <w:numId w:val="32"/>
        </w:numPr>
        <w:spacing w:after="80"/>
        <w:ind w:left="1134" w:hanging="357"/>
        <w:jc w:val="both"/>
        <w:rPr>
          <w:sz w:val="22"/>
          <w:szCs w:val="22"/>
        </w:rPr>
      </w:pPr>
      <w:r>
        <w:rPr>
          <w:sz w:val="22"/>
        </w:rPr>
        <w:t>L’article 7.5 de l’annexe II est complété comme suit:</w:t>
      </w:r>
    </w:p>
    <w:p w14:paraId="1D5585F6" w14:textId="39D5AF73" w:rsidR="0038536F" w:rsidRPr="00FE61B0" w:rsidRDefault="003C7E64" w:rsidP="00033011">
      <w:pPr>
        <w:spacing w:after="80"/>
        <w:ind w:left="1134"/>
        <w:jc w:val="both"/>
        <w:rPr>
          <w:i/>
          <w:iCs/>
          <w:sz w:val="22"/>
          <w:szCs w:val="22"/>
        </w:rPr>
      </w:pPr>
      <w:r>
        <w:rPr>
          <w:i/>
          <w:sz w:val="22"/>
        </w:rPr>
        <w:t>«Lorsque l’action financée par l’Union européenne contribue à la réalisation d’une action de plus grande envergure, l’organisation peut transférer l’équipement, les véhicules et les fournitures financés par le budget de l’action à cette action de plus grande envergure, si les conditions particulières le prévoient. Dans ce cas, elle joint au rapport final un inventaire des biens concernés et de leur affectation. Les obligations de visibilité concernant l’équipement, les véhicules et les fournitures, ainsi que l’obligation de respecter les valeurs de l’Union visées à l’article 4 de l’annexe II, continuent à s’appliquer au moins jusqu’à la fin de l’action de plus grande envergure.</w:t>
      </w:r>
    </w:p>
    <w:p w14:paraId="7500EFB4" w14:textId="24A00FCF" w:rsidR="0038536F" w:rsidRPr="00FE61B0" w:rsidRDefault="0038536F" w:rsidP="00033011">
      <w:pPr>
        <w:spacing w:before="120"/>
        <w:ind w:left="1134"/>
        <w:jc w:val="both"/>
        <w:rPr>
          <w:i/>
          <w:iCs/>
          <w:sz w:val="22"/>
          <w:szCs w:val="22"/>
        </w:rPr>
      </w:pPr>
      <w:r>
        <w:rPr>
          <w:i/>
          <w:sz w:val="22"/>
        </w:rPr>
        <w:t>Les preuves du transfert de l’équipement et des biens transférés par l’organisation ne sont pas jointes au rapport final, mais conservées à des fins de vérification, conformément aux obligations de conservation des dossiers énoncées à l’article 16.»</w:t>
      </w:r>
    </w:p>
    <w:p w14:paraId="3FF8B537" w14:textId="72C48874" w:rsidR="009366C4" w:rsidRDefault="009366C4" w:rsidP="009366C4">
      <w:pPr>
        <w:numPr>
          <w:ilvl w:val="0"/>
          <w:numId w:val="34"/>
        </w:numPr>
        <w:spacing w:before="120"/>
        <w:ind w:left="1134"/>
        <w:jc w:val="both"/>
        <w:rPr>
          <w:sz w:val="22"/>
          <w:szCs w:val="22"/>
        </w:rPr>
      </w:pPr>
      <w:r>
        <w:rPr>
          <w:sz w:val="22"/>
        </w:rPr>
        <w:t>Les articles 12.8 à 12.11 (mesures administratives) de l’annexe II sont soumis aux privilèges et immunités de l’organisation.</w:t>
      </w:r>
    </w:p>
    <w:p w14:paraId="434CDD51" w14:textId="1ED7DD8A" w:rsidR="009366C4" w:rsidRPr="00C22FFB" w:rsidRDefault="009366C4" w:rsidP="009366C4">
      <w:pPr>
        <w:numPr>
          <w:ilvl w:val="0"/>
          <w:numId w:val="34"/>
        </w:numPr>
        <w:spacing w:before="120"/>
        <w:ind w:left="1134"/>
        <w:jc w:val="both"/>
        <w:rPr>
          <w:sz w:val="22"/>
          <w:szCs w:val="22"/>
        </w:rPr>
      </w:pPr>
      <w:r>
        <w:rPr>
          <w:sz w:val="22"/>
        </w:rPr>
        <w:t>Les articles 13.1 et 13.4 de l’annexe II sont remplacés par le texte suivant:</w:t>
      </w:r>
    </w:p>
    <w:p w14:paraId="76D33A33" w14:textId="70A4B4A2" w:rsidR="009366C4" w:rsidRDefault="003C7E64" w:rsidP="009366C4">
      <w:pPr>
        <w:spacing w:before="120"/>
        <w:ind w:left="1134"/>
        <w:jc w:val="both"/>
        <w:rPr>
          <w:sz w:val="22"/>
          <w:szCs w:val="22"/>
        </w:rPr>
      </w:pPr>
      <w:r>
        <w:rPr>
          <w:sz w:val="22"/>
        </w:rPr>
        <w:lastRenderedPageBreak/>
        <w:t>«</w:t>
      </w:r>
      <w:r>
        <w:rPr>
          <w:i/>
          <w:sz w:val="22"/>
        </w:rPr>
        <w:t>Sans préjudice de toute convention-cadre de partenariat financier connexe et en l’absence de règlement à l’amiable conformément à l’article 13.2 ci-dessus, tout différend, contestation ou réclamation découlant de la présente convention ou en rapport avec celle-ci, ou avec l’existence, l’interprétation, l’application, la violation, la résiliation ou la nullité de celle-ci, est réglé par arbitrage définitif et contraignant, conformément au règlement d’arbitrage de 2012 de la Cour permanente d’arbitrage, tel qu’en vigueur à la date d’entrée en vigueur de la présente convention. L’autorité de nomination est le secrétaire général de la Cour permanente d’arbitrage. La procédure d’arbitrage doit se tenir à La Haye et la langue utilisée dans la procédure arbitrale est l’anglais. La décision de l’arbitre a force contraignante pour l’ensemble des parties et n’est pas susceptible d’appel.</w:t>
      </w:r>
      <w:r>
        <w:rPr>
          <w:sz w:val="22"/>
        </w:rPr>
        <w:t>»</w:t>
      </w:r>
    </w:p>
    <w:p w14:paraId="206CA533" w14:textId="666E2F19" w:rsidR="00124C31" w:rsidRPr="00715EEC" w:rsidRDefault="00124C31" w:rsidP="001604A5">
      <w:pPr>
        <w:numPr>
          <w:ilvl w:val="0"/>
          <w:numId w:val="32"/>
        </w:numPr>
        <w:spacing w:before="120" w:after="80"/>
        <w:ind w:left="1134" w:hanging="357"/>
        <w:jc w:val="both"/>
        <w:rPr>
          <w:sz w:val="22"/>
          <w:szCs w:val="22"/>
        </w:rPr>
      </w:pPr>
      <w:r>
        <w:rPr>
          <w:sz w:val="22"/>
        </w:rPr>
        <w:t>L’article 14.9, paragraphe i), de l’annexe II est complété comme suit:</w:t>
      </w:r>
    </w:p>
    <w:p w14:paraId="030A53F2" w14:textId="429E59D1" w:rsidR="00124C31" w:rsidRDefault="003C7E64" w:rsidP="003C7E64">
      <w:pPr>
        <w:spacing w:after="80"/>
        <w:ind w:left="1134"/>
        <w:jc w:val="both"/>
        <w:rPr>
          <w:sz w:val="22"/>
          <w:szCs w:val="22"/>
        </w:rPr>
      </w:pPr>
      <w:r>
        <w:rPr>
          <w:sz w:val="22"/>
        </w:rPr>
        <w:t>«</w:t>
      </w:r>
      <w:r>
        <w:rPr>
          <w:i/>
          <w:sz w:val="22"/>
        </w:rPr>
        <w:t>les provisions, les réserves ou les coûts n’entrant pas dans la rémunération. Les cotisations patronales aux pensions ou à tout autre fonds d’assurance des salariés gérés par l’organisation ne sont éligibles que dans la mesure où elles ne dépassent pas les coûts encourus au cours de la période de référence, calculés conformément aux normes comptables internationales applicables</w:t>
      </w:r>
      <w:r>
        <w:rPr>
          <w:sz w:val="22"/>
        </w:rPr>
        <w:t>;»</w:t>
      </w:r>
    </w:p>
    <w:p w14:paraId="3E432A27" w14:textId="3C334121" w:rsidR="00424BEB" w:rsidRPr="00F25554" w:rsidRDefault="003C7E64" w:rsidP="00FE61B0">
      <w:pPr>
        <w:keepNext/>
        <w:tabs>
          <w:tab w:val="left" w:pos="1134"/>
        </w:tabs>
        <w:spacing w:before="120"/>
        <w:ind w:left="1134" w:hanging="567"/>
        <w:jc w:val="both"/>
        <w:rPr>
          <w:sz w:val="22"/>
          <w:szCs w:val="22"/>
        </w:rPr>
      </w:pPr>
      <w:r>
        <w:rPr>
          <w:sz w:val="22"/>
        </w:rPr>
        <w:t>-</w:t>
      </w:r>
      <w:r>
        <w:rPr>
          <w:sz w:val="22"/>
        </w:rPr>
        <w:tab/>
        <w:t xml:space="preserve">Aux fins de l’article 15.14 de l’annexe II, lorsque l’organisation est le coordonnateur, elle n’est pas tenue, en sa qualité d’organisme public, de présenter une garantie de préfinancement, de sorte que les dispositions prévues à l’annexe VIII ne lui sont pas applicables. </w:t>
      </w:r>
    </w:p>
    <w:p w14:paraId="31B4FFB3" w14:textId="019C4406" w:rsidR="009045C9" w:rsidRDefault="003C7E64" w:rsidP="009045C9">
      <w:pPr>
        <w:tabs>
          <w:tab w:val="left" w:pos="-1440"/>
          <w:tab w:val="left" w:pos="-720"/>
        </w:tabs>
        <w:spacing w:before="120" w:after="240"/>
        <w:ind w:left="567" w:hanging="567"/>
        <w:jc w:val="both"/>
        <w:rPr>
          <w:sz w:val="22"/>
          <w:szCs w:val="22"/>
        </w:rPr>
      </w:pPr>
      <w:r>
        <w:rPr>
          <w:sz w:val="22"/>
        </w:rPr>
        <w:t>7.4</w:t>
      </w:r>
      <w:r>
        <w:rPr>
          <w:sz w:val="22"/>
        </w:rPr>
        <w:tab/>
        <w:t xml:space="preserve">Les modifications suivantes s’appliquent: </w:t>
      </w:r>
      <w:r>
        <w:rPr>
          <w:sz w:val="22"/>
          <w:highlight w:val="yellow"/>
        </w:rPr>
        <w:t>&lt;indiquer l’entité/les entités dont les piliers ont été évalués qui est/sont bénéficiaire(s) de la subvention&gt;</w:t>
      </w:r>
      <w:r>
        <w:rPr>
          <w:sz w:val="22"/>
        </w:rPr>
        <w:t xml:space="preserve"> (ci-après l’«organisation»)</w:t>
      </w:r>
      <w:r w:rsidR="009045C9" w:rsidRPr="0061319F">
        <w:rPr>
          <w:rStyle w:val="FootnoteReference"/>
          <w:szCs w:val="22"/>
          <w:highlight w:val="yellow"/>
        </w:rPr>
        <w:footnoteReference w:id="3"/>
      </w:r>
    </w:p>
    <w:p w14:paraId="07C2453B" w14:textId="77777777" w:rsidR="001D4F0F" w:rsidRPr="001D4F0F" w:rsidRDefault="009045C9" w:rsidP="001D4F0F">
      <w:pPr>
        <w:tabs>
          <w:tab w:val="left" w:pos="1134"/>
        </w:tabs>
        <w:spacing w:after="80"/>
        <w:ind w:left="1134" w:hanging="567"/>
        <w:jc w:val="both"/>
        <w:rPr>
          <w:bCs/>
          <w:sz w:val="22"/>
          <w:szCs w:val="22"/>
        </w:rPr>
      </w:pPr>
      <w:r>
        <w:rPr>
          <w:sz w:val="22"/>
        </w:rPr>
        <w:t>-</w:t>
      </w:r>
      <w:r>
        <w:rPr>
          <w:sz w:val="22"/>
        </w:rPr>
        <w:tab/>
        <w:t>Dans l’exécution des activités et sous réserve des dispositions ad hoc stipulées ci-dessous, le cas échéant, l’organisation applique ses propres règles et procédures, qui ont fait l’objet de l’évaluation des piliers, en ce qui concerne:</w:t>
      </w:r>
    </w:p>
    <w:p w14:paraId="42E69BAF" w14:textId="1556648F" w:rsidR="001D4F0F" w:rsidRPr="001D4F0F" w:rsidRDefault="001D4F0F" w:rsidP="00FE61B0">
      <w:pPr>
        <w:spacing w:after="80"/>
        <w:ind w:left="1560"/>
        <w:jc w:val="both"/>
        <w:rPr>
          <w:bCs/>
          <w:sz w:val="22"/>
          <w:szCs w:val="22"/>
        </w:rPr>
      </w:pPr>
      <w:r>
        <w:rPr>
          <w:sz w:val="22"/>
        </w:rPr>
        <w:t>a)</w:t>
      </w:r>
      <w:r>
        <w:rPr>
          <w:sz w:val="22"/>
        </w:rPr>
        <w:tab/>
        <w:t>le contrôle interne;</w:t>
      </w:r>
    </w:p>
    <w:p w14:paraId="23EF6BB5" w14:textId="2E5C860F" w:rsidR="001D4F0F" w:rsidRPr="001D4F0F" w:rsidRDefault="001D4F0F" w:rsidP="00FE61B0">
      <w:pPr>
        <w:spacing w:after="80"/>
        <w:ind w:left="1560"/>
        <w:jc w:val="both"/>
        <w:rPr>
          <w:bCs/>
          <w:sz w:val="22"/>
          <w:szCs w:val="22"/>
        </w:rPr>
      </w:pPr>
      <w:r>
        <w:rPr>
          <w:sz w:val="22"/>
        </w:rPr>
        <w:t>b)</w:t>
      </w:r>
      <w:r>
        <w:rPr>
          <w:sz w:val="22"/>
        </w:rPr>
        <w:tab/>
        <w:t>le système comptable;</w:t>
      </w:r>
    </w:p>
    <w:p w14:paraId="3303BE25" w14:textId="2E8FCB8F" w:rsidR="001D4F0F" w:rsidRPr="001D4F0F" w:rsidRDefault="001D4F0F" w:rsidP="00FE61B0">
      <w:pPr>
        <w:spacing w:after="80"/>
        <w:ind w:left="1560"/>
        <w:jc w:val="both"/>
        <w:rPr>
          <w:bCs/>
          <w:sz w:val="22"/>
          <w:szCs w:val="22"/>
        </w:rPr>
      </w:pPr>
      <w:r>
        <w:rPr>
          <w:sz w:val="22"/>
        </w:rPr>
        <w:t>c)</w:t>
      </w:r>
      <w:r>
        <w:rPr>
          <w:sz w:val="22"/>
        </w:rPr>
        <w:tab/>
        <w:t>l’audit externe indépendant;</w:t>
      </w:r>
    </w:p>
    <w:p w14:paraId="31A25E8B" w14:textId="5D810C2E" w:rsidR="001D4F0F" w:rsidRDefault="001D4F0F" w:rsidP="00FE61B0">
      <w:pPr>
        <w:spacing w:after="240"/>
        <w:ind w:left="1559"/>
        <w:jc w:val="both"/>
        <w:rPr>
          <w:bCs/>
          <w:sz w:val="22"/>
          <w:szCs w:val="22"/>
        </w:rPr>
      </w:pPr>
      <w:r>
        <w:rPr>
          <w:sz w:val="22"/>
        </w:rPr>
        <w:t>f)</w:t>
      </w:r>
      <w:r>
        <w:rPr>
          <w:sz w:val="22"/>
        </w:rPr>
        <w:tab/>
        <w:t>la protection des données à caractère personnel.</w:t>
      </w:r>
    </w:p>
    <w:p w14:paraId="3D11D0D0" w14:textId="77777777" w:rsidR="001D4F0F" w:rsidRDefault="001D4F0F" w:rsidP="00FE61B0">
      <w:pPr>
        <w:tabs>
          <w:tab w:val="left" w:pos="1134"/>
        </w:tabs>
        <w:spacing w:after="80"/>
        <w:ind w:left="1134"/>
        <w:jc w:val="both"/>
        <w:rPr>
          <w:bCs/>
          <w:sz w:val="22"/>
          <w:szCs w:val="22"/>
        </w:rPr>
      </w:pPr>
      <w:r>
        <w:rPr>
          <w:sz w:val="22"/>
        </w:rPr>
        <w:t>[</w:t>
      </w:r>
      <w:r>
        <w:rPr>
          <w:sz w:val="22"/>
          <w:highlight w:val="lightGray"/>
        </w:rPr>
        <w:t>L’organisation applique les mesures ad hoc suivantes</w:t>
      </w:r>
      <w:r>
        <w:rPr>
          <w:sz w:val="22"/>
        </w:rPr>
        <w:t xml:space="preserve"> &lt;</w:t>
      </w:r>
      <w:r>
        <w:rPr>
          <w:sz w:val="22"/>
          <w:highlight w:val="yellow"/>
        </w:rPr>
        <w:t>indiquer les mesures ad hoc découlant de l’évaluation des piliers</w:t>
      </w:r>
      <w:r>
        <w:rPr>
          <w:sz w:val="22"/>
        </w:rPr>
        <w:t>&gt;]</w:t>
      </w:r>
    </w:p>
    <w:p w14:paraId="4DD45189" w14:textId="76B5449B" w:rsidR="000D03E3" w:rsidRDefault="005B757F" w:rsidP="00FE61B0">
      <w:pPr>
        <w:tabs>
          <w:tab w:val="left" w:pos="1134"/>
        </w:tabs>
        <w:spacing w:after="80"/>
        <w:ind w:left="1134" w:hanging="567"/>
        <w:jc w:val="both"/>
        <w:rPr>
          <w:sz w:val="22"/>
          <w:szCs w:val="22"/>
        </w:rPr>
      </w:pPr>
      <w:r>
        <w:rPr>
          <w:sz w:val="22"/>
        </w:rPr>
        <w:t>-</w:t>
      </w:r>
      <w:r>
        <w:rPr>
          <w:sz w:val="22"/>
        </w:rPr>
        <w:tab/>
        <w:t>L’article 1.5 de l’annexe II est complété comme suit: «</w:t>
      </w:r>
      <w:r>
        <w:rPr>
          <w:i/>
          <w:sz w:val="22"/>
        </w:rPr>
        <w:t>e) L’organisation informe sans délai l’administration contractante, et la Commission européenne lorsque celle-ci n’est pas l’administration contractante, de toute modification substantielle des règles, procédures et systèmes appliqués pour mettre l’action en œuvre. Cette obligation concerne notamment i) les changements substantiels ayant une incidence sur l’évaluation des piliers de l’organisation, s’il y a lieu, et ii) les changements susceptibles d’avoir une incidence sur les conditions d’éligibilité prévues dans les instruments juridiques de l’UE applicables. L’administration contractante se réserve le droit d’adopter ou de demander des mesures supplémentaires en réponse à de tels changements ou de résilier le contrat ou la participation de l’organisation, lorsqu’aucun accord ne peut être trouvé sur de telles mesures, ni aucune autre solution»</w:t>
      </w:r>
      <w:r>
        <w:rPr>
          <w:sz w:val="22"/>
        </w:rPr>
        <w:t>.</w:t>
      </w:r>
    </w:p>
    <w:p w14:paraId="6B774CAD" w14:textId="218C7740" w:rsidR="00951F58" w:rsidRDefault="00951F58" w:rsidP="001D4F0F">
      <w:pPr>
        <w:numPr>
          <w:ilvl w:val="0"/>
          <w:numId w:val="32"/>
        </w:numPr>
        <w:spacing w:after="80"/>
        <w:ind w:left="1134" w:hanging="357"/>
        <w:jc w:val="both"/>
        <w:rPr>
          <w:sz w:val="22"/>
          <w:szCs w:val="22"/>
        </w:rPr>
      </w:pPr>
      <w:r>
        <w:rPr>
          <w:sz w:val="22"/>
        </w:rPr>
        <w:t>Le premier alinéa de l’article 1.6 de l’annexe II est complété comme suit: «</w:t>
      </w:r>
      <w:r>
        <w:rPr>
          <w:i/>
          <w:sz w:val="22"/>
        </w:rPr>
        <w:t>Lorsque la Commission européenne et l’organisation ont conclu une convention-cadre de partenariat financier, le présent alinéa s’applique conformément aux dispositions y afférentes qui y sont énoncées</w:t>
      </w:r>
      <w:r>
        <w:rPr>
          <w:sz w:val="22"/>
        </w:rPr>
        <w:t>».</w:t>
      </w:r>
    </w:p>
    <w:p w14:paraId="6548D7E6" w14:textId="2315E5D2" w:rsidR="000D03E3" w:rsidRPr="0054622E" w:rsidRDefault="000D03E3" w:rsidP="001D4F0F">
      <w:pPr>
        <w:numPr>
          <w:ilvl w:val="0"/>
          <w:numId w:val="32"/>
        </w:numPr>
        <w:spacing w:after="80"/>
        <w:ind w:left="1134" w:hanging="357"/>
        <w:jc w:val="both"/>
        <w:rPr>
          <w:sz w:val="22"/>
          <w:szCs w:val="22"/>
        </w:rPr>
      </w:pPr>
      <w:r>
        <w:rPr>
          <w:sz w:val="22"/>
        </w:rPr>
        <w:t>Les articles 4.3 et 4.4 de l’annexe II s’appliquent dans le respect des règles et règlements de l’organisation évalués positivement dans le cadre de l’évaluation des piliers.</w:t>
      </w:r>
    </w:p>
    <w:p w14:paraId="368F784F" w14:textId="77777777" w:rsidR="005B757F" w:rsidRPr="00C22FFB" w:rsidRDefault="005B757F" w:rsidP="005B757F">
      <w:pPr>
        <w:numPr>
          <w:ilvl w:val="0"/>
          <w:numId w:val="32"/>
        </w:numPr>
        <w:spacing w:before="120" w:after="80"/>
        <w:ind w:left="1134" w:hanging="357"/>
        <w:jc w:val="both"/>
        <w:rPr>
          <w:sz w:val="22"/>
          <w:szCs w:val="22"/>
        </w:rPr>
      </w:pPr>
      <w:r>
        <w:rPr>
          <w:sz w:val="22"/>
        </w:rPr>
        <w:t>L’article 6 de l’annexe II est complété comme suit:</w:t>
      </w:r>
    </w:p>
    <w:p w14:paraId="39073BCD" w14:textId="77777777" w:rsidR="005B757F" w:rsidRDefault="005B757F" w:rsidP="005B757F">
      <w:pPr>
        <w:spacing w:before="120" w:after="120"/>
        <w:ind w:left="1134"/>
        <w:jc w:val="both"/>
        <w:rPr>
          <w:sz w:val="22"/>
          <w:szCs w:val="22"/>
        </w:rPr>
      </w:pPr>
      <w:r>
        <w:rPr>
          <w:sz w:val="22"/>
        </w:rPr>
        <w:lastRenderedPageBreak/>
        <w:t>«</w:t>
      </w:r>
      <w:r>
        <w:rPr>
          <w:i/>
          <w:sz w:val="22"/>
        </w:rPr>
        <w:t>L’emblème et les autres indications de propriété apposés de manière visible sur l’équipement et les véhicules de l’organisation peuvent continuer à y figurer normalement. Si, au cours de la mise en œuvre de l’action, des équipements, des véhicules ou des fournitures importantes sont achetés, l’organisation doit le faire savoir de manière appropriée sur ces véhicules, équipements et fournitures importantes (notamment en y apposant l’emblème de l’Union européenne). Lorsqu’un tel affichage risque de compromettre les privilèges et immunités, ou la sûreté et la sécurité du personnel de l’organisation ou des bénéficiaires finaux, l’organisation propose d’autres formules adéquates. L’indication du financement par l’Union européenne et l’affichage de l’emblème de cette dernière doivent être clairement visibles, d’une manière qui ne crée pas de confusion concernant l’identification de l’action comme une activité de l’organisation, le fait que l’équipement et les fournitures sont la propriété de l’organisation et le fait que les privilèges et immunités de l’organisation s’appliquent à l’action</w:t>
      </w:r>
      <w:r>
        <w:rPr>
          <w:sz w:val="22"/>
        </w:rPr>
        <w:t>.»</w:t>
      </w:r>
    </w:p>
    <w:p w14:paraId="658DFDCA" w14:textId="77777777" w:rsidR="005B757F" w:rsidRPr="00715EEC" w:rsidRDefault="005B757F" w:rsidP="005B757F">
      <w:pPr>
        <w:numPr>
          <w:ilvl w:val="0"/>
          <w:numId w:val="32"/>
        </w:numPr>
        <w:spacing w:after="80"/>
        <w:ind w:left="1134" w:hanging="357"/>
        <w:jc w:val="both"/>
        <w:rPr>
          <w:sz w:val="22"/>
          <w:szCs w:val="22"/>
        </w:rPr>
      </w:pPr>
      <w:r>
        <w:rPr>
          <w:sz w:val="22"/>
        </w:rPr>
        <w:t>L’article 7.5 de l’annexe II est complété comme suit:</w:t>
      </w:r>
    </w:p>
    <w:p w14:paraId="134E11D1" w14:textId="77777777" w:rsidR="005B757F" w:rsidRPr="0061319F" w:rsidRDefault="005B757F" w:rsidP="005B757F">
      <w:pPr>
        <w:spacing w:after="80"/>
        <w:ind w:left="1134"/>
        <w:jc w:val="both"/>
        <w:rPr>
          <w:i/>
          <w:iCs/>
          <w:sz w:val="22"/>
          <w:szCs w:val="22"/>
        </w:rPr>
      </w:pPr>
      <w:r>
        <w:rPr>
          <w:i/>
          <w:sz w:val="22"/>
        </w:rPr>
        <w:t>«Lorsque l’action financée par l’Union européenne contribue à la réalisation d’une action de plus grande envergure, l’organisation peut transférer l’équipement, les véhicules et les fournitures financés par le budget de l’action à cette action de plus grande envergure, si les conditions particulières le prévoient. Dans ce cas, elle joint au rapport final un inventaire des biens concernés et de leur affectation. Les obligations de visibilité concernant l’équipement, les véhicules et les fournitures, ainsi que l’obligation de respecter les valeurs de l’Union visées à l’article 4 de l’annexe II, continuent à s’appliquer au moins jusqu’à la fin de l’action de plus grande envergure.</w:t>
      </w:r>
    </w:p>
    <w:p w14:paraId="350E33D3" w14:textId="77777777" w:rsidR="005B757F" w:rsidRDefault="005B757F" w:rsidP="005B757F">
      <w:pPr>
        <w:spacing w:before="120"/>
        <w:ind w:left="1134"/>
        <w:jc w:val="both"/>
        <w:rPr>
          <w:i/>
          <w:iCs/>
          <w:sz w:val="22"/>
          <w:szCs w:val="22"/>
        </w:rPr>
      </w:pPr>
      <w:r>
        <w:rPr>
          <w:i/>
          <w:sz w:val="22"/>
        </w:rPr>
        <w:t>Les preuves du transfert de l’équipement et des biens transférés par l’organisation ne sont pas jointes au rapport final, mais conservées à des fins de vérification, conformément aux obligations de conservation des dossiers énoncées à l’article 16. Les dispositions prévues à l’annexe IX ne s’appliquent pas à l’organisation».</w:t>
      </w:r>
    </w:p>
    <w:p w14:paraId="7CE708A1" w14:textId="77777777" w:rsidR="005B757F" w:rsidRDefault="00404179" w:rsidP="00FE61B0">
      <w:pPr>
        <w:spacing w:before="120" w:after="120" w:line="276" w:lineRule="auto"/>
        <w:ind w:left="1134" w:hanging="567"/>
        <w:jc w:val="both"/>
        <w:rPr>
          <w:sz w:val="22"/>
          <w:szCs w:val="22"/>
        </w:rPr>
      </w:pPr>
      <w:r>
        <w:rPr>
          <w:sz w:val="22"/>
        </w:rPr>
        <w:t xml:space="preserve">- </w:t>
      </w:r>
      <w:r>
        <w:rPr>
          <w:sz w:val="22"/>
        </w:rPr>
        <w:tab/>
      </w:r>
      <w:r>
        <w:rPr>
          <w:sz w:val="22"/>
          <w:highlight w:val="yellow"/>
        </w:rPr>
        <w:t>Si l’évaluation des piliers englobe les marchés publics et/ou les subventions, ajouter:</w:t>
      </w:r>
      <w:r>
        <w:rPr>
          <w:sz w:val="22"/>
        </w:rPr>
        <w:t xml:space="preserve"> [L’article 10 de l’annexe II est complété comme suit:</w:t>
      </w:r>
    </w:p>
    <w:p w14:paraId="464306AB" w14:textId="77777777" w:rsidR="00404179" w:rsidRPr="00404179" w:rsidRDefault="00404179" w:rsidP="00FE61B0">
      <w:pPr>
        <w:spacing w:before="120" w:after="120" w:line="276" w:lineRule="auto"/>
        <w:ind w:left="939" w:firstLine="141"/>
        <w:jc w:val="both"/>
        <w:rPr>
          <w:rFonts w:eastAsia="Calibri"/>
          <w:sz w:val="22"/>
          <w:szCs w:val="22"/>
        </w:rPr>
      </w:pPr>
      <w:r>
        <w:rPr>
          <w:sz w:val="22"/>
        </w:rPr>
        <w:t xml:space="preserve">L’organisation peut: </w:t>
      </w:r>
    </w:p>
    <w:p w14:paraId="1463A378" w14:textId="1EB1D033" w:rsidR="00404179" w:rsidRPr="00404179" w:rsidRDefault="00404179" w:rsidP="00FE61B0">
      <w:pPr>
        <w:numPr>
          <w:ilvl w:val="0"/>
          <w:numId w:val="37"/>
        </w:numPr>
        <w:tabs>
          <w:tab w:val="left" w:pos="1701"/>
        </w:tabs>
        <w:spacing w:before="120" w:after="120" w:line="276" w:lineRule="auto"/>
        <w:ind w:left="1701" w:hanging="567"/>
        <w:jc w:val="both"/>
        <w:rPr>
          <w:rFonts w:eastAsia="Calibri"/>
          <w:sz w:val="22"/>
          <w:szCs w:val="22"/>
        </w:rPr>
      </w:pPr>
      <w:r>
        <w:rPr>
          <w:sz w:val="22"/>
          <w:highlight w:val="lightGray"/>
        </w:rPr>
        <w:t xml:space="preserve">[appliquer ses propres règles et procédures pour l’attribution et la gestion des marchés publics ayant fait l’objet d’une évaluation des piliers, au lieu des principes énoncés à la section 1 de l’annexe IV </w:t>
      </w:r>
      <w:bookmarkStart w:id="0" w:name="_Hlk178347629"/>
      <w:r>
        <w:rPr>
          <w:sz w:val="22"/>
          <w:highlight w:val="yellow"/>
        </w:rPr>
        <w:t>Indiquer, s’il y</w:t>
      </w:r>
      <w:r w:rsidR="00235AF6">
        <w:rPr>
          <w:sz w:val="22"/>
          <w:highlight w:val="yellow"/>
        </w:rPr>
        <w:t xml:space="preserve"> a</w:t>
      </w:r>
      <w:r>
        <w:rPr>
          <w:sz w:val="22"/>
          <w:highlight w:val="yellow"/>
        </w:rPr>
        <w:t xml:space="preserve"> lieu: </w:t>
      </w:r>
      <w:bookmarkEnd w:id="0"/>
      <w:r>
        <w:rPr>
          <w:sz w:val="22"/>
          <w:highlight w:val="lightGray"/>
        </w:rPr>
        <w:t>[, complétées par les mesures ad hoc suivantes &lt;</w:t>
      </w:r>
      <w:r>
        <w:rPr>
          <w:sz w:val="22"/>
          <w:highlight w:val="yellow"/>
        </w:rPr>
        <w:t>indiquer</w:t>
      </w:r>
      <w:r>
        <w:rPr>
          <w:sz w:val="22"/>
          <w:highlight w:val="lightGray"/>
        </w:rPr>
        <w:t>&gt;] en ce qui concerne les marchés d’exécution et la sous-traitance][, et]</w:t>
      </w:r>
    </w:p>
    <w:p w14:paraId="4D82E1CC" w14:textId="77777777" w:rsidR="00404179" w:rsidRPr="00400F9A" w:rsidRDefault="00404179" w:rsidP="00FE61B0">
      <w:pPr>
        <w:numPr>
          <w:ilvl w:val="0"/>
          <w:numId w:val="37"/>
        </w:numPr>
        <w:tabs>
          <w:tab w:val="left" w:pos="567"/>
          <w:tab w:val="left" w:pos="1701"/>
        </w:tabs>
        <w:spacing w:before="120" w:after="120" w:line="276" w:lineRule="auto"/>
        <w:ind w:left="1701" w:hanging="567"/>
        <w:jc w:val="both"/>
        <w:rPr>
          <w:sz w:val="22"/>
          <w:szCs w:val="22"/>
        </w:rPr>
      </w:pPr>
      <w:r>
        <w:rPr>
          <w:sz w:val="22"/>
          <w:highlight w:val="lightGray"/>
        </w:rPr>
        <w:t>[appliquer ses propres règles et procédures pour l’attribution et la gestion des subventions, qui ont fait l’objet d’une évaluation des piliers</w:t>
      </w:r>
      <w:r>
        <w:rPr>
          <w:sz w:val="22"/>
          <w:highlight w:val="yellow"/>
        </w:rPr>
        <w:t xml:space="preserve"> Indiquer s’il y a lieu:</w:t>
      </w:r>
      <w:r>
        <w:rPr>
          <w:sz w:val="22"/>
          <w:highlight w:val="lightGray"/>
        </w:rPr>
        <w:t xml:space="preserve"> [, complétées par les mesures ad hoc suivantes&lt;</w:t>
      </w:r>
      <w:r>
        <w:rPr>
          <w:sz w:val="22"/>
          <w:highlight w:val="yellow"/>
        </w:rPr>
        <w:t>indiquer</w:t>
      </w:r>
      <w:r>
        <w:rPr>
          <w:sz w:val="22"/>
          <w:highlight w:val="lightGray"/>
        </w:rPr>
        <w:t>&gt;]] en ce qui concerne le soutien financier à des tiers.]</w:t>
      </w:r>
      <w:r>
        <w:rPr>
          <w:sz w:val="22"/>
        </w:rPr>
        <w:t>]</w:t>
      </w:r>
    </w:p>
    <w:p w14:paraId="311D3995" w14:textId="519C4E87" w:rsidR="005D62F4" w:rsidRPr="001604A5" w:rsidRDefault="000D03E3" w:rsidP="001D4F0F">
      <w:pPr>
        <w:numPr>
          <w:ilvl w:val="0"/>
          <w:numId w:val="32"/>
        </w:numPr>
        <w:spacing w:after="80"/>
        <w:ind w:left="1134" w:hanging="357"/>
        <w:jc w:val="both"/>
        <w:rPr>
          <w:sz w:val="22"/>
          <w:szCs w:val="22"/>
        </w:rPr>
      </w:pPr>
      <w:r>
        <w:rPr>
          <w:sz w:val="22"/>
        </w:rPr>
        <w:t>L’article 2.9 de l’annexe II est complété comme suit:</w:t>
      </w:r>
    </w:p>
    <w:p w14:paraId="4936E73D" w14:textId="747D760B" w:rsidR="0054622E" w:rsidRDefault="005B757F" w:rsidP="001D4F0F">
      <w:pPr>
        <w:spacing w:after="80"/>
        <w:ind w:left="1134"/>
        <w:jc w:val="both"/>
        <w:rPr>
          <w:sz w:val="22"/>
          <w:szCs w:val="22"/>
        </w:rPr>
      </w:pPr>
      <w:r>
        <w:rPr>
          <w:sz w:val="22"/>
        </w:rPr>
        <w:t>«</w:t>
      </w:r>
      <w:r>
        <w:rPr>
          <w:i/>
          <w:sz w:val="22"/>
        </w:rPr>
        <w:t>Le coordonnateur, en accord avec l’organisation, peut décider de présenter, en lieu et place du rapport contractuel de vérification des dépenses et/ou de la ventilation détaillée des dépenses relatives à la partie des dépenses supportées de l’action mise en œuvre par l’organisation, une déclaration de gestion par laquelle il atteste que, pendant la période couverte par le rapport correspondant, la contribution a été utilisée et comptabilisée conformément aux systèmes et règles évalués positivement dans le cadre de l’évaluation des piliers, ainsi qu’aux obligations prévues dans le présent contrat. Dans ce cas, les dispositions prévues à l’annexe VII ne sont pas applicables à l’organisation</w:t>
      </w:r>
      <w:r>
        <w:rPr>
          <w:sz w:val="22"/>
        </w:rPr>
        <w:t>.»</w:t>
      </w:r>
    </w:p>
    <w:p w14:paraId="5A51EE65" w14:textId="77777777" w:rsidR="005D62F4" w:rsidRPr="005D62F4" w:rsidRDefault="005D62F4" w:rsidP="005D62F4">
      <w:pPr>
        <w:spacing w:after="80"/>
        <w:ind w:left="1134"/>
        <w:jc w:val="both"/>
        <w:rPr>
          <w:sz w:val="22"/>
          <w:szCs w:val="22"/>
          <w:highlight w:val="yellow"/>
        </w:rPr>
      </w:pPr>
      <w:r>
        <w:rPr>
          <w:sz w:val="22"/>
          <w:highlight w:val="yellow"/>
        </w:rPr>
        <w:t>Sélectionner une option:</w:t>
      </w:r>
    </w:p>
    <w:p w14:paraId="14336D5D" w14:textId="0C267E82" w:rsidR="005D62F4" w:rsidRPr="005D62F4" w:rsidRDefault="005D62F4" w:rsidP="005D62F4">
      <w:pPr>
        <w:spacing w:after="120"/>
        <w:ind w:left="1134"/>
        <w:jc w:val="both"/>
        <w:rPr>
          <w:sz w:val="22"/>
          <w:szCs w:val="22"/>
        </w:rPr>
      </w:pPr>
      <w:r>
        <w:rPr>
          <w:sz w:val="22"/>
          <w:highlight w:val="yellow"/>
        </w:rPr>
        <w:t>En ce qui concerne les organisations internationales/les organisations des États membres qui ont conclu un accord pour présenter une déclaration de gestion globale:</w:t>
      </w:r>
      <w:r>
        <w:rPr>
          <w:sz w:val="22"/>
        </w:rPr>
        <w:t xml:space="preserve"> </w:t>
      </w:r>
      <w:r>
        <w:rPr>
          <w:sz w:val="22"/>
          <w:highlight w:val="lightGray"/>
        </w:rPr>
        <w:t>[L’organisation présente chaque année une déclaration de gestion globale au siège de la Commission européenne.]</w:t>
      </w:r>
    </w:p>
    <w:p w14:paraId="13F74601" w14:textId="7E63217D" w:rsidR="005D62F4" w:rsidRDefault="005B757F" w:rsidP="005D62F4">
      <w:pPr>
        <w:spacing w:after="120"/>
        <w:ind w:left="1134"/>
        <w:jc w:val="both"/>
        <w:rPr>
          <w:sz w:val="22"/>
          <w:szCs w:val="22"/>
        </w:rPr>
      </w:pPr>
      <w:r>
        <w:rPr>
          <w:sz w:val="22"/>
          <w:highlight w:val="yellow"/>
        </w:rPr>
        <w:lastRenderedPageBreak/>
        <w:t xml:space="preserve">Dans tous les autres cas: </w:t>
      </w:r>
      <w:r>
        <w:rPr>
          <w:sz w:val="22"/>
          <w:highlight w:val="lightGray"/>
        </w:rPr>
        <w:t>[Le coordonnateur présente la déclaration de gestion de l’organisation accompagnée de chaque rapport d’avancement et de chaque rapport final.]</w:t>
      </w:r>
    </w:p>
    <w:p w14:paraId="10455734" w14:textId="3C08C6B3" w:rsidR="0038536F" w:rsidRDefault="0038536F" w:rsidP="00FE61B0">
      <w:pPr>
        <w:numPr>
          <w:ilvl w:val="0"/>
          <w:numId w:val="32"/>
        </w:numPr>
        <w:tabs>
          <w:tab w:val="left" w:pos="1134"/>
        </w:tabs>
        <w:spacing w:before="120"/>
        <w:ind w:left="1134" w:hanging="567"/>
        <w:jc w:val="both"/>
        <w:rPr>
          <w:sz w:val="22"/>
          <w:szCs w:val="22"/>
        </w:rPr>
      </w:pPr>
      <w:r>
        <w:rPr>
          <w:sz w:val="22"/>
        </w:rPr>
        <w:t>Les articles 16.6 à 16.10 de l’annexe II sont remplacés par le texte suivant:</w:t>
      </w:r>
    </w:p>
    <w:p w14:paraId="3346EEDE" w14:textId="7F42336B" w:rsidR="007B150B" w:rsidRPr="00FE61B0" w:rsidRDefault="00F41498" w:rsidP="00FE61B0">
      <w:pPr>
        <w:pStyle w:val="Text2"/>
        <w:tabs>
          <w:tab w:val="left" w:pos="1134"/>
        </w:tabs>
        <w:spacing w:before="120" w:after="200"/>
        <w:ind w:left="1134"/>
        <w:rPr>
          <w:b/>
          <w:i/>
          <w:iCs/>
          <w:sz w:val="22"/>
          <w:szCs w:val="22"/>
          <w:u w:val="single"/>
        </w:rPr>
      </w:pPr>
      <w:r>
        <w:rPr>
          <w:b/>
          <w:sz w:val="22"/>
        </w:rPr>
        <w:t>«</w:t>
      </w:r>
      <w:r>
        <w:rPr>
          <w:b/>
          <w:i/>
          <w:sz w:val="22"/>
          <w:u w:val="single"/>
        </w:rPr>
        <w:t>Droit d’accès</w:t>
      </w:r>
    </w:p>
    <w:p w14:paraId="43469BE8" w14:textId="7DF7CC0B" w:rsidR="007B150B" w:rsidRPr="00FE61B0" w:rsidRDefault="005D62F4" w:rsidP="00FE61B0">
      <w:pPr>
        <w:tabs>
          <w:tab w:val="left" w:pos="1701"/>
        </w:tabs>
        <w:spacing w:after="80"/>
        <w:ind w:left="1701" w:hanging="567"/>
        <w:jc w:val="both"/>
        <w:rPr>
          <w:i/>
          <w:iCs/>
          <w:sz w:val="22"/>
          <w:szCs w:val="22"/>
        </w:rPr>
      </w:pPr>
      <w:r>
        <w:rPr>
          <w:i/>
          <w:sz w:val="22"/>
        </w:rPr>
        <w:t xml:space="preserve">16.6 </w:t>
      </w:r>
      <w:r>
        <w:rPr>
          <w:i/>
          <w:sz w:val="22"/>
        </w:rPr>
        <w:tab/>
        <w:t>L’organisation autorise la Commission européenne, ou tout autre représentant habilité, à procéder à des examens documentaires ou à des contrôles sur place de l’utilisation de la contribution de l’UE sur la base de justificatifs comptables et de tout autre document relatif au financement de l’action.</w:t>
      </w:r>
    </w:p>
    <w:p w14:paraId="06D7E448" w14:textId="265BCAAB" w:rsidR="007B150B" w:rsidRPr="00FE61B0" w:rsidRDefault="005D62F4" w:rsidP="00FE61B0">
      <w:pPr>
        <w:spacing w:after="80"/>
        <w:ind w:left="1701" w:hanging="567"/>
        <w:jc w:val="both"/>
        <w:rPr>
          <w:i/>
          <w:iCs/>
          <w:sz w:val="22"/>
          <w:szCs w:val="22"/>
        </w:rPr>
      </w:pPr>
      <w:r>
        <w:rPr>
          <w:i/>
          <w:sz w:val="22"/>
        </w:rPr>
        <w:t>16.7</w:t>
      </w:r>
      <w:r>
        <w:rPr>
          <w:i/>
          <w:sz w:val="22"/>
        </w:rPr>
        <w:tab/>
        <w:t>L’organisation convient que l’OLAF ou le Parquet européen peut procéder à des enquêtes, y compris des contrôles et des inspections sur place, conformément aux dispositions prévues par le droit de l’Union pour la préservation des intérêts financiers de l’UE contre la fraude, la corruption et toute autre activité illégale.</w:t>
      </w:r>
    </w:p>
    <w:p w14:paraId="235D5F32" w14:textId="2A7AC196" w:rsidR="007F7F03" w:rsidRPr="00FE61B0" w:rsidRDefault="005D62F4" w:rsidP="00FE61B0">
      <w:pPr>
        <w:spacing w:after="80"/>
        <w:ind w:left="1701" w:hanging="567"/>
        <w:jc w:val="both"/>
        <w:rPr>
          <w:i/>
          <w:iCs/>
          <w:sz w:val="22"/>
          <w:szCs w:val="22"/>
        </w:rPr>
      </w:pPr>
      <w:r>
        <w:rPr>
          <w:i/>
          <w:sz w:val="22"/>
        </w:rPr>
        <w:t>16.8</w:t>
      </w:r>
      <w:r>
        <w:rPr>
          <w:i/>
          <w:sz w:val="22"/>
        </w:rPr>
        <w:tab/>
        <w:t xml:space="preserve">L’organisation convient que l’exécution du présent contrat peut faire l’objet d’un contrôle par la Cour des comptes lorsque cette dernière effectue un audit de la mise en œuvre des dépenses de l’UE par la Commission européenne. Dans ce cas, l’organisation fournit à la Cour des comptes un accès aux informations dont elle a besoin pour s’acquitter de ses fonctions. </w:t>
      </w:r>
    </w:p>
    <w:p w14:paraId="09051D48" w14:textId="29B9BAA6" w:rsidR="007B150B" w:rsidRPr="00FE61B0" w:rsidRDefault="005D62F4" w:rsidP="00FE61B0">
      <w:pPr>
        <w:spacing w:after="80"/>
        <w:ind w:left="1701" w:hanging="567"/>
        <w:jc w:val="both"/>
        <w:rPr>
          <w:i/>
          <w:iCs/>
          <w:sz w:val="22"/>
          <w:szCs w:val="22"/>
        </w:rPr>
      </w:pPr>
      <w:r>
        <w:rPr>
          <w:i/>
          <w:sz w:val="22"/>
        </w:rPr>
        <w:t>16.9</w:t>
      </w:r>
      <w:r>
        <w:rPr>
          <w:i/>
          <w:sz w:val="22"/>
        </w:rPr>
        <w:tab/>
        <w:t>À cette fin, l’organisation s’engage à fournir aux fonctionnaires de la Commission européenne, du Parquet européen, de l’OLAF et de la Cour des comptes européenne et à leurs agents habilités, sur demande, des informations et l’accès à tous les documents et données informatisées concernant la gestion technique et financière des opérations financées dans le cadre du contrat, ainsi qu’à leur accorder l’accès aux sites et aux locaux dans lesquels ces opérations sont réalisées. L’organisation prend toutes les mesures nécessaires pour faciliter ces contrôles conformément à ses réglementations et règles. Les documents et les données informatisées peuvent comprendre des informations que l’organisation considère comme confidentielles conformément à ses propres réglementations et règles bien établies ou comme prévu par un accord de type contractuel. Ces informations, une fois communiquées à la Commission européenne, au Parquet européen, à l’OLAF, à la Cour des comptes européenne ou à tout autre représentant autorisé, sont traitées conformément aux règles et à la législation de l’UE en matière de confidentialité et aux dispositions prévues à l’article 5. Les documents doivent être accessibles et classés de manière à permettre des contrôles, l’organisation étant tenue d’informer la Commission européenne, le Parquet européen, l’OLAF ou la Cour des comptes européenne du lieu précis où ils sont conservés. Le cas échéant, les parties peuvent convenir d’envoyer des copies de ces documents pour examen documentaire.</w:t>
      </w:r>
    </w:p>
    <w:p w14:paraId="24411878" w14:textId="14FD0181" w:rsidR="007B150B" w:rsidRPr="00FE61B0" w:rsidRDefault="005D62F4" w:rsidP="00FE61B0">
      <w:pPr>
        <w:spacing w:after="80"/>
        <w:ind w:left="1701" w:hanging="567"/>
        <w:jc w:val="both"/>
        <w:rPr>
          <w:i/>
          <w:iCs/>
          <w:sz w:val="22"/>
          <w:szCs w:val="22"/>
        </w:rPr>
      </w:pPr>
      <w:r>
        <w:rPr>
          <w:i/>
          <w:sz w:val="22"/>
        </w:rPr>
        <w:t>16.9</w:t>
      </w:r>
      <w:r>
        <w:rPr>
          <w:i/>
          <w:sz w:val="22"/>
        </w:rPr>
        <w:tab/>
        <w:t>Le cas échéant, les examens documentaires, les enquêtes et les contrôles et inspections sur place visés aux articles 16.6 à 16.9 désignent une vérification qui est réalisée conformément aux clauses de vérification convenues entre l'organisation et la Commission européenne. Cette disposition est sans préjudice de tout accord de coopération conclu entre l’OLAF et les organismes antifraude de l’organisation.</w:t>
      </w:r>
    </w:p>
    <w:p w14:paraId="705467BE" w14:textId="492F7BD1" w:rsidR="007B150B" w:rsidRDefault="005D62F4" w:rsidP="00F41498">
      <w:pPr>
        <w:spacing w:after="80"/>
        <w:ind w:left="1701" w:hanging="567"/>
        <w:jc w:val="both"/>
        <w:rPr>
          <w:sz w:val="22"/>
          <w:szCs w:val="22"/>
        </w:rPr>
      </w:pPr>
      <w:r>
        <w:rPr>
          <w:i/>
          <w:sz w:val="22"/>
        </w:rPr>
        <w:t>16.10</w:t>
      </w:r>
      <w:r>
        <w:rPr>
          <w:i/>
          <w:sz w:val="22"/>
        </w:rPr>
        <w:tab/>
        <w:t>La Commission européenne informe l’organisation en temps voulu de l’envoi planifié sur place d’agents désignés par la Commission européenne afin que la question du choix des procédures adéquates puisse être réglée à l’avance.</w:t>
      </w:r>
      <w:r>
        <w:rPr>
          <w:sz w:val="22"/>
        </w:rPr>
        <w:t>»</w:t>
      </w:r>
    </w:p>
    <w:p w14:paraId="3C255B61" w14:textId="216A1442" w:rsidR="00F41498" w:rsidRDefault="00F41498" w:rsidP="00FE61B0">
      <w:pPr>
        <w:numPr>
          <w:ilvl w:val="0"/>
          <w:numId w:val="32"/>
        </w:numPr>
        <w:tabs>
          <w:tab w:val="left" w:pos="1134"/>
        </w:tabs>
        <w:spacing w:after="80"/>
        <w:ind w:left="1134" w:hanging="567"/>
        <w:jc w:val="both"/>
        <w:rPr>
          <w:sz w:val="22"/>
          <w:szCs w:val="22"/>
        </w:rPr>
      </w:pPr>
      <w:r>
        <w:rPr>
          <w:sz w:val="22"/>
        </w:rPr>
        <w:t>L’article 16 de l’annexe II est complété comme suit:</w:t>
      </w:r>
    </w:p>
    <w:p w14:paraId="711CCE0B" w14:textId="21C6A3C0" w:rsidR="00646BAB" w:rsidRPr="00FE61B0" w:rsidRDefault="00F41498" w:rsidP="00FE61B0">
      <w:pPr>
        <w:pStyle w:val="Bodytext10"/>
        <w:tabs>
          <w:tab w:val="left" w:pos="1276"/>
        </w:tabs>
        <w:spacing w:after="80" w:line="240" w:lineRule="atLeast"/>
        <w:ind w:left="1134"/>
        <w:jc w:val="both"/>
        <w:rPr>
          <w:rStyle w:val="Bodytext1"/>
          <w:i/>
          <w:iCs/>
        </w:rPr>
      </w:pPr>
      <w:r>
        <w:rPr>
          <w:rStyle w:val="Bodytext1"/>
          <w:b/>
          <w:u w:val="single"/>
        </w:rPr>
        <w:t>«</w:t>
      </w:r>
      <w:r>
        <w:rPr>
          <w:rStyle w:val="Bodytext1"/>
          <w:b/>
          <w:i/>
          <w:u w:val="single"/>
        </w:rPr>
        <w:t>Conséquences en cas de non-respect</w:t>
      </w:r>
    </w:p>
    <w:p w14:paraId="79197D18" w14:textId="310E0069" w:rsidR="00646BAB" w:rsidRDefault="00646BAB" w:rsidP="00FE61B0">
      <w:pPr>
        <w:pStyle w:val="Bodytext10"/>
        <w:tabs>
          <w:tab w:val="left" w:pos="1701"/>
        </w:tabs>
        <w:spacing w:after="80" w:line="240" w:lineRule="atLeast"/>
        <w:ind w:left="1701" w:hanging="567"/>
        <w:jc w:val="both"/>
        <w:rPr>
          <w:rStyle w:val="Bodytext1"/>
        </w:rPr>
      </w:pPr>
      <w:r>
        <w:rPr>
          <w:i/>
        </w:rPr>
        <w:t>16.11</w:t>
      </w:r>
      <w:r>
        <w:rPr>
          <w:i/>
        </w:rPr>
        <w:tab/>
        <w:t>Le non-respect des obligations énoncées aux articles 16.1 à 16.10 constitue un cas de violation d’une obligation substantielle au titre du contrat. Dans ce cas, l’administration contractante peut notamment suspendre le contrat, les paiements ou le délai de paiement, résilier le contrat, mettre un terme à la participation de l’organisation et/ou réduire la subvention</w:t>
      </w:r>
      <w:r>
        <w:t>.»</w:t>
      </w:r>
    </w:p>
    <w:p w14:paraId="3387CCCB" w14:textId="52F45458" w:rsidR="00F41498" w:rsidRPr="0038536F" w:rsidRDefault="00F41498" w:rsidP="00F41498">
      <w:pPr>
        <w:keepNext/>
        <w:spacing w:before="120"/>
        <w:ind w:left="1134" w:hanging="567"/>
        <w:jc w:val="both"/>
        <w:rPr>
          <w:color w:val="1F497D"/>
          <w:sz w:val="22"/>
          <w:szCs w:val="22"/>
        </w:rPr>
      </w:pPr>
      <w:r>
        <w:rPr>
          <w:sz w:val="22"/>
        </w:rPr>
        <w:lastRenderedPageBreak/>
        <w:t>-</w:t>
      </w:r>
      <w:r>
        <w:rPr>
          <w:sz w:val="22"/>
        </w:rPr>
        <w:tab/>
        <w:t>La section 2.3 de l’annexe IV (relative aux exceptions aux règles de nationalité et d’origine) est complétée comme suit: «</w:t>
      </w:r>
      <w:r>
        <w:rPr>
          <w:i/>
          <w:sz w:val="22"/>
        </w:rPr>
        <w:t>L’organisation peut donner accès à des ressortissants ou à des biens provenant de pays autres que ceux visés aux sections 2.1 et 2.2, conformément à ses règles et sans autorisation préalable de la Commission européenne</w:t>
      </w:r>
      <w:r>
        <w:rPr>
          <w:sz w:val="22"/>
        </w:rPr>
        <w:t xml:space="preserve">». </w:t>
      </w:r>
    </w:p>
    <w:p w14:paraId="749A8CCA" w14:textId="77777777" w:rsidR="0038536F" w:rsidRPr="0038536F" w:rsidRDefault="0038536F" w:rsidP="00FE61B0">
      <w:pPr>
        <w:keepNext/>
        <w:spacing w:before="120"/>
        <w:ind w:left="1134" w:hanging="567"/>
        <w:jc w:val="both"/>
        <w:rPr>
          <w:color w:val="1F497D"/>
          <w:sz w:val="22"/>
          <w:szCs w:val="22"/>
        </w:rPr>
      </w:pPr>
    </w:p>
    <w:sectPr w:rsidR="0038536F" w:rsidRPr="0038536F" w:rsidSect="00DF5A98">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80D1E" w14:textId="77777777" w:rsidR="00DC363B" w:rsidRDefault="00DC363B" w:rsidP="0038536F">
      <w:r>
        <w:separator/>
      </w:r>
    </w:p>
  </w:endnote>
  <w:endnote w:type="continuationSeparator" w:id="0">
    <w:p w14:paraId="1B0E05A4" w14:textId="77777777" w:rsidR="00DC363B" w:rsidRDefault="00DC363B" w:rsidP="003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E7FC" w14:textId="77777777" w:rsidR="00AF0E28" w:rsidRDefault="00AF0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CF52" w14:textId="646D1E1A" w:rsidR="00DF5A98" w:rsidRPr="00B41404" w:rsidRDefault="00646BAB" w:rsidP="00CA3159">
    <w:pPr>
      <w:pStyle w:val="Footer"/>
      <w:tabs>
        <w:tab w:val="clear" w:pos="4536"/>
        <w:tab w:val="right" w:pos="9356"/>
      </w:tabs>
      <w:rPr>
        <w:sz w:val="18"/>
        <w:szCs w:val="18"/>
      </w:rPr>
    </w:pPr>
    <w:r>
      <w:rPr>
        <w:b/>
        <w:sz w:val="18"/>
      </w:rPr>
      <w:t>202</w:t>
    </w:r>
    <w:r w:rsidR="00097321">
      <w:rPr>
        <w:b/>
        <w:sz w:val="18"/>
      </w:rPr>
      <w:t>5</w:t>
    </w:r>
    <w:r>
      <w:rPr>
        <w:sz w:val="18"/>
      </w:rPr>
      <w:tab/>
      <w:t>Page </w:t>
    </w:r>
    <w:r w:rsidR="00DF5A98" w:rsidRPr="00B479BA">
      <w:rPr>
        <w:sz w:val="18"/>
      </w:rPr>
      <w:fldChar w:fldCharType="begin"/>
    </w:r>
    <w:r w:rsidR="00DF5A98" w:rsidRPr="00B41404">
      <w:rPr>
        <w:sz w:val="18"/>
      </w:rPr>
      <w:instrText xml:space="preserve"> PAGE </w:instrText>
    </w:r>
    <w:r w:rsidR="00DF5A98" w:rsidRPr="00B479BA">
      <w:rPr>
        <w:sz w:val="18"/>
      </w:rPr>
      <w:fldChar w:fldCharType="separate"/>
    </w:r>
    <w:r w:rsidR="00685063">
      <w:rPr>
        <w:sz w:val="18"/>
      </w:rPr>
      <w:t>3</w:t>
    </w:r>
    <w:r w:rsidR="00DF5A98" w:rsidRPr="00B479BA">
      <w:rPr>
        <w:sz w:val="18"/>
      </w:rPr>
      <w:fldChar w:fldCharType="end"/>
    </w:r>
    <w:r>
      <w:rPr>
        <w:sz w:val="18"/>
      </w:rPr>
      <w:t xml:space="preserve"> sur </w:t>
    </w:r>
    <w:r w:rsidR="00DF5A98" w:rsidRPr="00B479BA">
      <w:rPr>
        <w:sz w:val="18"/>
      </w:rPr>
      <w:fldChar w:fldCharType="begin"/>
    </w:r>
    <w:r w:rsidR="00DF5A98" w:rsidRPr="00B41404">
      <w:rPr>
        <w:sz w:val="18"/>
      </w:rPr>
      <w:instrText xml:space="preserve"> NUMPAGES </w:instrText>
    </w:r>
    <w:r w:rsidR="00DF5A98" w:rsidRPr="00B479BA">
      <w:rPr>
        <w:sz w:val="18"/>
      </w:rPr>
      <w:fldChar w:fldCharType="separate"/>
    </w:r>
    <w:r w:rsidR="00685063">
      <w:rPr>
        <w:sz w:val="18"/>
      </w:rPr>
      <w:t>3</w:t>
    </w:r>
    <w:r w:rsidR="00DF5A98" w:rsidRPr="00B479BA">
      <w:rPr>
        <w:sz w:val="18"/>
      </w:rPr>
      <w:fldChar w:fldCharType="end"/>
    </w:r>
  </w:p>
  <w:p w14:paraId="36E76265" w14:textId="5DC73F04" w:rsidR="00DF5A98" w:rsidRPr="00B41404" w:rsidRDefault="00CA3159" w:rsidP="00CA3159">
    <w:pPr>
      <w:pStyle w:val="Footer"/>
      <w:tabs>
        <w:tab w:val="right" w:pos="9356"/>
      </w:tabs>
      <w:rPr>
        <w:sz w:val="18"/>
        <w:szCs w:val="18"/>
      </w:rPr>
    </w:pPr>
    <w:r>
      <w:rPr>
        <w:sz w:val="18"/>
      </w:rPr>
      <w:fldChar w:fldCharType="begin"/>
    </w:r>
    <w:r>
      <w:rPr>
        <w:sz w:val="18"/>
      </w:rPr>
      <w:instrText xml:space="preserve"> FILENAME   \* MERGEFORMAT </w:instrText>
    </w:r>
    <w:r>
      <w:rPr>
        <w:sz w:val="18"/>
      </w:rPr>
      <w:fldChar w:fldCharType="separate"/>
    </w:r>
    <w:r w:rsidR="009F52B8">
      <w:rPr>
        <w:noProof/>
        <w:sz w:val="18"/>
      </w:rPr>
      <w:t>e3h11_derogations_ios_PA_entities_fr.docx</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E412" w14:textId="77777777" w:rsidR="00AF0E28" w:rsidRDefault="00AF0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7BEB" w14:textId="77777777" w:rsidR="00DC363B" w:rsidRDefault="00DC363B" w:rsidP="0038536F">
      <w:r>
        <w:separator/>
      </w:r>
    </w:p>
  </w:footnote>
  <w:footnote w:type="continuationSeparator" w:id="0">
    <w:p w14:paraId="7475AA61" w14:textId="77777777" w:rsidR="00DC363B" w:rsidRDefault="00DC363B" w:rsidP="0038536F">
      <w:r>
        <w:continuationSeparator/>
      </w:r>
    </w:p>
  </w:footnote>
  <w:footnote w:id="1">
    <w:p w14:paraId="60C3048A" w14:textId="13666097" w:rsidR="00842EDC" w:rsidRPr="00842EDC" w:rsidRDefault="00842EDC" w:rsidP="00CA3159">
      <w:pPr>
        <w:pStyle w:val="FootnoteText"/>
      </w:pPr>
      <w:r>
        <w:rPr>
          <w:rStyle w:val="FootnoteReference"/>
          <w:highlight w:val="yellow"/>
        </w:rPr>
        <w:footnoteRef/>
      </w:r>
      <w:r>
        <w:rPr>
          <w:highlight w:val="yellow"/>
        </w:rPr>
        <w:t xml:space="preserve"> </w:t>
      </w:r>
      <w:r>
        <w:rPr>
          <w:highlight w:val="yellow"/>
        </w:rPr>
        <w:tab/>
        <w:t xml:space="preserve">Lorsque le </w:t>
      </w:r>
      <w:r>
        <w:rPr>
          <w:b/>
          <w:highlight w:val="yellow"/>
        </w:rPr>
        <w:t>coordonnateur</w:t>
      </w:r>
      <w:r>
        <w:rPr>
          <w:highlight w:val="yellow"/>
        </w:rPr>
        <w:t xml:space="preserve"> est une organisation internationale/une autre entité dont les piliers ont été positivement évalués par la Commission européenne, la présente annexe ne s’applique pas, car l’organisation signera une convention de contribution fondée sur le modèle correspondant. Le présent modèle s’applique donc uniquement lorsqu’une organisation dont les piliers ont été évalués agit en tant que cobénéficiaire ou lorsque le coordonnateur ou un cobénéficiaire est une organisation internationale dont les piliers n’ont pas été positivement évalués.</w:t>
      </w:r>
      <w:r>
        <w:t xml:space="preserve"> </w:t>
      </w:r>
    </w:p>
  </w:footnote>
  <w:footnote w:id="2">
    <w:p w14:paraId="349205F0" w14:textId="77777777" w:rsidR="003C7E64" w:rsidRPr="00FE61B0" w:rsidRDefault="003C7E64" w:rsidP="00CA3159">
      <w:pPr>
        <w:pStyle w:val="FootnoteText"/>
      </w:pPr>
      <w:r>
        <w:rPr>
          <w:rStyle w:val="FootnoteReference"/>
          <w:highlight w:val="yellow"/>
        </w:rPr>
        <w:footnoteRef/>
      </w:r>
      <w:r>
        <w:rPr>
          <w:highlight w:val="yellow"/>
        </w:rPr>
        <w:t xml:space="preserve"> </w:t>
      </w:r>
      <w:r>
        <w:rPr>
          <w:highlight w:val="yellow"/>
        </w:rPr>
        <w:tab/>
        <w:t>L’article 7.3 n’est inséré que lorsqu’une organisation internationale: i) est cobénéficiaire (que ses piliers aient été évalués ou non); ii) est un coordonnateur dont les piliers n’ont pas été évalués.</w:t>
      </w:r>
      <w:r>
        <w:t xml:space="preserve"> </w:t>
      </w:r>
    </w:p>
  </w:footnote>
  <w:footnote w:id="3">
    <w:p w14:paraId="60FA9FED" w14:textId="77777777" w:rsidR="009045C9" w:rsidRPr="0061319F" w:rsidRDefault="009045C9" w:rsidP="00CA3159">
      <w:pPr>
        <w:pStyle w:val="FootnoteText"/>
      </w:pPr>
      <w:r>
        <w:rPr>
          <w:rStyle w:val="FootnoteReference"/>
          <w:highlight w:val="yellow"/>
        </w:rPr>
        <w:footnoteRef/>
      </w:r>
      <w:r>
        <w:rPr>
          <w:highlight w:val="yellow"/>
        </w:rPr>
        <w:t xml:space="preserve"> </w:t>
      </w:r>
      <w:r>
        <w:rPr>
          <w:highlight w:val="yellow"/>
        </w:rPr>
        <w:tab/>
        <w:t>L’article 7.4 ne doit figurer que lorsqu’une organisation dont les piliers ont été évalués est un cobénéficiaire.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0C75" w14:textId="77777777" w:rsidR="00AF0E28" w:rsidRDefault="00AF0E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24AB" w14:textId="77777777" w:rsidR="00DF5A98" w:rsidRPr="00B479BA" w:rsidRDefault="00DF5A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5F1F" w14:textId="77777777" w:rsidR="00AF0E28" w:rsidRDefault="00AF0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39B"/>
    <w:multiLevelType w:val="multilevel"/>
    <w:tmpl w:val="BE1EFE82"/>
    <w:styleLink w:val="Style2"/>
    <w:lvl w:ilvl="0">
      <w:start w:val="1"/>
      <w:numFmt w:val="decimal"/>
      <w:lvlText w:val="%1."/>
      <w:lvlJc w:val="left"/>
      <w:pPr>
        <w:tabs>
          <w:tab w:val="num" w:pos="360"/>
        </w:tabs>
        <w:ind w:left="360" w:hanging="360"/>
      </w:pPr>
      <w:rPr>
        <w:rFonts w:ascii="Times New Roman Bold" w:hAnsi="Times New Roman Bold" w:cs="Times New Roman" w:hint="default"/>
        <w:b/>
        <w:i w:val="0"/>
        <w:sz w:val="32"/>
        <w:szCs w:val="32"/>
      </w:rPr>
    </w:lvl>
    <w:lvl w:ilvl="1">
      <w:start w:val="1"/>
      <w:numFmt w:val="decimal"/>
      <w:lvlText w:val="%1.%2."/>
      <w:lvlJc w:val="left"/>
      <w:pPr>
        <w:tabs>
          <w:tab w:val="num" w:pos="284"/>
        </w:tabs>
        <w:ind w:left="567" w:hanging="567"/>
      </w:pPr>
      <w:rPr>
        <w:rFonts w:ascii="Times New Roman Bold" w:hAnsi="Times New Roman Bold" w:cs="Times New Roman" w:hint="default"/>
        <w:b/>
        <w:i w:val="0"/>
        <w:sz w:val="28"/>
        <w:szCs w:val="28"/>
      </w:rPr>
    </w:lvl>
    <w:lvl w:ilvl="2">
      <w:start w:val="1"/>
      <w:numFmt w:val="decimal"/>
      <w:lvlText w:val="%2.%1.%3."/>
      <w:lvlJc w:val="left"/>
      <w:pPr>
        <w:tabs>
          <w:tab w:val="num" w:pos="1080"/>
        </w:tabs>
        <w:ind w:left="1134" w:hanging="1134"/>
      </w:pPr>
      <w:rPr>
        <w:rFonts w:ascii="Times New Roman Bold" w:hAnsi="Times New Roman Bold" w:cs="Times New Roman" w:hint="default"/>
        <w:b/>
        <w:i w:val="0"/>
        <w:sz w:val="28"/>
        <w:szCs w:val="28"/>
      </w:rPr>
    </w:lvl>
    <w:lvl w:ilvl="3">
      <w:start w:val="1"/>
      <w:numFmt w:val="decimal"/>
      <w:lvlText w:val="%1.%2.%3.%4."/>
      <w:lvlJc w:val="left"/>
      <w:pPr>
        <w:tabs>
          <w:tab w:val="num" w:pos="4680"/>
        </w:tabs>
        <w:ind w:left="424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 w15:restartNumberingAfterBreak="0">
    <w:nsid w:val="07FB5B11"/>
    <w:multiLevelType w:val="hybridMultilevel"/>
    <w:tmpl w:val="B9A0D4CA"/>
    <w:lvl w:ilvl="0" w:tplc="8F66C52E">
      <w:start w:val="1"/>
      <w:numFmt w:val="bullet"/>
      <w:lvlText w:val="-"/>
      <w:lvlJc w:val="left"/>
      <w:pPr>
        <w:ind w:left="1002" w:hanging="360"/>
      </w:pPr>
      <w:rPr>
        <w:rFonts w:ascii="Calibri" w:hAnsi="Calibri" w:hint="default"/>
        <w:sz w:val="18"/>
      </w:rPr>
    </w:lvl>
    <w:lvl w:ilvl="1" w:tplc="08090003">
      <w:start w:val="1"/>
      <w:numFmt w:val="bullet"/>
      <w:lvlText w:val="o"/>
      <w:lvlJc w:val="left"/>
      <w:pPr>
        <w:ind w:left="1722" w:hanging="360"/>
      </w:pPr>
      <w:rPr>
        <w:rFonts w:ascii="Courier New" w:hAnsi="Courier New" w:cs="Courier New" w:hint="default"/>
      </w:rPr>
    </w:lvl>
    <w:lvl w:ilvl="2" w:tplc="08090005" w:tentative="1">
      <w:start w:val="1"/>
      <w:numFmt w:val="bullet"/>
      <w:lvlText w:val=""/>
      <w:lvlJc w:val="left"/>
      <w:pPr>
        <w:ind w:left="2442" w:hanging="360"/>
      </w:pPr>
      <w:rPr>
        <w:rFonts w:ascii="Wingdings" w:hAnsi="Wingdings" w:hint="default"/>
      </w:rPr>
    </w:lvl>
    <w:lvl w:ilvl="3" w:tplc="08090001" w:tentative="1">
      <w:start w:val="1"/>
      <w:numFmt w:val="bullet"/>
      <w:lvlText w:val=""/>
      <w:lvlJc w:val="left"/>
      <w:pPr>
        <w:ind w:left="3162" w:hanging="360"/>
      </w:pPr>
      <w:rPr>
        <w:rFonts w:ascii="Symbol" w:hAnsi="Symbol" w:hint="default"/>
      </w:rPr>
    </w:lvl>
    <w:lvl w:ilvl="4" w:tplc="08090003" w:tentative="1">
      <w:start w:val="1"/>
      <w:numFmt w:val="bullet"/>
      <w:lvlText w:val="o"/>
      <w:lvlJc w:val="left"/>
      <w:pPr>
        <w:ind w:left="3882" w:hanging="360"/>
      </w:pPr>
      <w:rPr>
        <w:rFonts w:ascii="Courier New" w:hAnsi="Courier New" w:cs="Courier New" w:hint="default"/>
      </w:rPr>
    </w:lvl>
    <w:lvl w:ilvl="5" w:tplc="08090005" w:tentative="1">
      <w:start w:val="1"/>
      <w:numFmt w:val="bullet"/>
      <w:lvlText w:val=""/>
      <w:lvlJc w:val="left"/>
      <w:pPr>
        <w:ind w:left="4602" w:hanging="360"/>
      </w:pPr>
      <w:rPr>
        <w:rFonts w:ascii="Wingdings" w:hAnsi="Wingdings" w:hint="default"/>
      </w:rPr>
    </w:lvl>
    <w:lvl w:ilvl="6" w:tplc="08090001" w:tentative="1">
      <w:start w:val="1"/>
      <w:numFmt w:val="bullet"/>
      <w:lvlText w:val=""/>
      <w:lvlJc w:val="left"/>
      <w:pPr>
        <w:ind w:left="5322" w:hanging="360"/>
      </w:pPr>
      <w:rPr>
        <w:rFonts w:ascii="Symbol" w:hAnsi="Symbol" w:hint="default"/>
      </w:rPr>
    </w:lvl>
    <w:lvl w:ilvl="7" w:tplc="08090003" w:tentative="1">
      <w:start w:val="1"/>
      <w:numFmt w:val="bullet"/>
      <w:lvlText w:val="o"/>
      <w:lvlJc w:val="left"/>
      <w:pPr>
        <w:ind w:left="6042" w:hanging="360"/>
      </w:pPr>
      <w:rPr>
        <w:rFonts w:ascii="Courier New" w:hAnsi="Courier New" w:cs="Courier New" w:hint="default"/>
      </w:rPr>
    </w:lvl>
    <w:lvl w:ilvl="8" w:tplc="08090005" w:tentative="1">
      <w:start w:val="1"/>
      <w:numFmt w:val="bullet"/>
      <w:lvlText w:val=""/>
      <w:lvlJc w:val="left"/>
      <w:pPr>
        <w:ind w:left="6762" w:hanging="360"/>
      </w:pPr>
      <w:rPr>
        <w:rFonts w:ascii="Wingdings" w:hAnsi="Wingdings" w:hint="default"/>
      </w:rPr>
    </w:lvl>
  </w:abstractNum>
  <w:abstractNum w:abstractNumId="2" w15:restartNumberingAfterBreak="0">
    <w:nsid w:val="0D8F5D4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37237B"/>
    <w:multiLevelType w:val="multilevel"/>
    <w:tmpl w:val="BE1EFE82"/>
    <w:styleLink w:val="CurrentList1"/>
    <w:lvl w:ilvl="0">
      <w:start w:val="1"/>
      <w:numFmt w:val="decimal"/>
      <w:lvlText w:val="%1."/>
      <w:lvlJc w:val="left"/>
      <w:pPr>
        <w:tabs>
          <w:tab w:val="num" w:pos="360"/>
        </w:tabs>
        <w:ind w:left="360" w:hanging="360"/>
      </w:pPr>
      <w:rPr>
        <w:rFonts w:ascii="Times New Roman Bold" w:hAnsi="Times New Roman Bold" w:cs="Times New Roman" w:hint="default"/>
        <w:b/>
        <w:i w:val="0"/>
        <w:sz w:val="32"/>
        <w:szCs w:val="32"/>
      </w:rPr>
    </w:lvl>
    <w:lvl w:ilvl="1">
      <w:start w:val="1"/>
      <w:numFmt w:val="decimal"/>
      <w:lvlText w:val="%1.%2."/>
      <w:lvlJc w:val="left"/>
      <w:pPr>
        <w:tabs>
          <w:tab w:val="num" w:pos="426"/>
        </w:tabs>
        <w:ind w:left="709" w:hanging="567"/>
      </w:pPr>
      <w:rPr>
        <w:rFonts w:ascii="Times New Roman Bold" w:hAnsi="Times New Roman Bold" w:cs="Times New Roman" w:hint="default"/>
        <w:b/>
        <w:i w:val="0"/>
        <w:sz w:val="28"/>
        <w:szCs w:val="28"/>
      </w:rPr>
    </w:lvl>
    <w:lvl w:ilvl="2">
      <w:start w:val="1"/>
      <w:numFmt w:val="decimal"/>
      <w:lvlText w:val="%2.%1.%3."/>
      <w:lvlJc w:val="left"/>
      <w:pPr>
        <w:tabs>
          <w:tab w:val="num" w:pos="1080"/>
        </w:tabs>
        <w:ind w:left="1134" w:hanging="1134"/>
      </w:pPr>
      <w:rPr>
        <w:rFonts w:ascii="Times New Roman Bold" w:hAnsi="Times New Roman Bold" w:cs="Times New Roman" w:hint="default"/>
        <w:b/>
        <w:i w:val="0"/>
        <w:sz w:val="28"/>
        <w:szCs w:val="28"/>
      </w:rPr>
    </w:lvl>
    <w:lvl w:ilvl="3">
      <w:start w:val="1"/>
      <w:numFmt w:val="decimal"/>
      <w:lvlText w:val="%1.%2.%3.%4."/>
      <w:lvlJc w:val="left"/>
      <w:pPr>
        <w:tabs>
          <w:tab w:val="num" w:pos="4680"/>
        </w:tabs>
        <w:ind w:left="424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4" w15:restartNumberingAfterBreak="0">
    <w:nsid w:val="1ABE0F69"/>
    <w:multiLevelType w:val="hybridMultilevel"/>
    <w:tmpl w:val="AC9687DC"/>
    <w:lvl w:ilvl="0" w:tplc="FFFFFFFF">
      <w:start w:val="1"/>
      <w:numFmt w:val="bullet"/>
      <w:lvlText w:val="o"/>
      <w:lvlJc w:val="left"/>
      <w:pPr>
        <w:tabs>
          <w:tab w:val="num" w:pos="1080"/>
        </w:tabs>
        <w:ind w:left="1080" w:hanging="360"/>
      </w:pPr>
      <w:rPr>
        <w:rFonts w:ascii="Courier New" w:hAnsi="Courier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59E4D93"/>
    <w:multiLevelType w:val="multilevel"/>
    <w:tmpl w:val="8CE6E654"/>
    <w:lvl w:ilvl="0">
      <w:start w:val="1"/>
      <w:numFmt w:val="decimal"/>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32"/>
        <w:szCs w:val="28"/>
        <w:u w:val="none"/>
        <w:vertAlign w:val="baseline"/>
      </w:rPr>
    </w:lvl>
    <w:lvl w:ilvl="1">
      <w:start w:val="1"/>
      <w:numFmt w:val="decimal"/>
      <w:lvlText w:val="%1.%2."/>
      <w:lvlJc w:val="left"/>
      <w:pPr>
        <w:tabs>
          <w:tab w:val="num" w:pos="737"/>
        </w:tabs>
        <w:ind w:left="737" w:hanging="737"/>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szCs w:val="24"/>
        <w:vertAlign w:val="baseline"/>
      </w:rPr>
    </w:lvl>
    <w:lvl w:ilvl="2">
      <w:start w:val="1"/>
      <w:numFmt w:val="decimal"/>
      <w:lvlText w:val="%1.%2.%3."/>
      <w:lvlJc w:val="left"/>
      <w:pPr>
        <w:tabs>
          <w:tab w:val="num" w:pos="851"/>
        </w:tabs>
        <w:ind w:left="851" w:hanging="851"/>
      </w:pPr>
      <w:rPr>
        <w:rFonts w:ascii="Times New Roman Bold" w:hAnsi="Times New Roman Bold" w:cs="Times New Roman" w:hint="default"/>
        <w:b/>
        <w:i w:val="0"/>
        <w:kern w:val="28"/>
        <w:sz w:val="28"/>
      </w:rPr>
    </w:lvl>
    <w:lvl w:ilvl="3">
      <w:start w:val="1"/>
      <w:numFmt w:val="decimal"/>
      <w:lvlText w:val="%1.%2.%3.%4"/>
      <w:lvlJc w:val="left"/>
      <w:pPr>
        <w:tabs>
          <w:tab w:val="num" w:pos="360"/>
        </w:tabs>
        <w:ind w:left="0" w:firstLine="0"/>
      </w:pPr>
      <w:rPr>
        <w:rFonts w:ascii="Times New Roman Bold" w:hAnsi="Times New Roman Bold" w:cs="Times New Roman" w:hint="default"/>
        <w:b/>
        <w:i w:val="0"/>
        <w:sz w:val="24"/>
      </w:rPr>
    </w:lvl>
    <w:lvl w:ilvl="4">
      <w:start w:val="1"/>
      <w:numFmt w:val="decimal"/>
      <w:lvlText w:val="%1.%2.%3.%4.%5."/>
      <w:lvlJc w:val="left"/>
      <w:pPr>
        <w:tabs>
          <w:tab w:val="num" w:pos="360"/>
        </w:tabs>
        <w:ind w:left="0" w:firstLine="0"/>
      </w:pPr>
      <w:rPr>
        <w:rFonts w:ascii="Times New Roman Bold" w:hAnsi="Times New Roman Bold" w:cs="Times New Roman" w:hint="default"/>
        <w:b/>
        <w:i w:val="0"/>
        <w:sz w:val="24"/>
      </w:rPr>
    </w:lvl>
    <w:lvl w:ilvl="5">
      <w:numFmt w:val="none"/>
      <w:lvlText w:val=""/>
      <w:lvlJc w:val="left"/>
      <w:pPr>
        <w:tabs>
          <w:tab w:val="num" w:pos="360"/>
        </w:tabs>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6" w15:restartNumberingAfterBreak="0">
    <w:nsid w:val="260C5D7E"/>
    <w:multiLevelType w:val="hybridMultilevel"/>
    <w:tmpl w:val="D52445C2"/>
    <w:lvl w:ilvl="0" w:tplc="B952F7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FF3CD3"/>
    <w:multiLevelType w:val="hybridMultilevel"/>
    <w:tmpl w:val="725462D8"/>
    <w:lvl w:ilvl="0" w:tplc="1E68BEFE">
      <w:start w:val="1"/>
      <w:numFmt w:val="bullet"/>
      <w:lvlText w:val=""/>
      <w:lvlJc w:val="left"/>
      <w:pPr>
        <w:ind w:left="1644" w:hanging="360"/>
      </w:pPr>
      <w:rPr>
        <w:rFonts w:ascii="Symbol" w:hAnsi="Symbol" w:hint="default"/>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19" w:tentative="1">
      <w:start w:val="1"/>
      <w:numFmt w:val="lowerLetter"/>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8" w15:restartNumberingAfterBreak="0">
    <w:nsid w:val="33837964"/>
    <w:multiLevelType w:val="multilevel"/>
    <w:tmpl w:val="9C18F49E"/>
    <w:lvl w:ilvl="0">
      <w:start w:val="16"/>
      <w:numFmt w:val="decimal"/>
      <w:lvlText w:val="%1."/>
      <w:lvlJc w:val="left"/>
      <w:rPr>
        <w:rFonts w:ascii="Times New Roman" w:eastAsia="Times New Roman" w:hAnsi="Times New Roman" w:cs="Times New Roman"/>
        <w:b/>
        <w:bCs/>
        <w:i w:val="0"/>
        <w:iCs w:val="0"/>
        <w:smallCaps w:val="0"/>
        <w:strike w:val="0"/>
        <w:color w:val="EBEBEB"/>
        <w:spacing w:val="0"/>
        <w:w w:val="100"/>
        <w:position w:val="0"/>
        <w:sz w:val="24"/>
        <w:szCs w:val="24"/>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592920"/>
    <w:multiLevelType w:val="multilevel"/>
    <w:tmpl w:val="E70A30D6"/>
    <w:lvl w:ilvl="0">
      <w:start w:val="16"/>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2212AF"/>
    <w:multiLevelType w:val="hybridMultilevel"/>
    <w:tmpl w:val="72406606"/>
    <w:lvl w:ilvl="0" w:tplc="8F66C52E">
      <w:start w:val="1"/>
      <w:numFmt w:val="bullet"/>
      <w:lvlText w:val="-"/>
      <w:lvlJc w:val="left"/>
      <w:pPr>
        <w:ind w:left="720" w:hanging="360"/>
      </w:pPr>
      <w:rPr>
        <w:rFonts w:ascii="Calibri" w:hAnsi="Calibri" w:hint="default"/>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B8619A"/>
    <w:multiLevelType w:val="multilevel"/>
    <w:tmpl w:val="36F84C7A"/>
    <w:lvl w:ilvl="0">
      <w:start w:val="16"/>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59705DC1"/>
    <w:multiLevelType w:val="multilevel"/>
    <w:tmpl w:val="0809001F"/>
    <w:styleLink w:val="111111"/>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65F52D64"/>
    <w:multiLevelType w:val="multilevel"/>
    <w:tmpl w:val="1EDE6DBC"/>
    <w:lvl w:ilvl="0">
      <w:start w:val="1"/>
      <w:numFmt w:val="decimal"/>
      <w:pStyle w:val="pprag1"/>
      <w:lvlText w:val="%1."/>
      <w:lvlJc w:val="left"/>
      <w:pPr>
        <w:tabs>
          <w:tab w:val="num" w:pos="360"/>
        </w:tabs>
        <w:ind w:left="360" w:hanging="360"/>
      </w:pPr>
      <w:rPr>
        <w:rFonts w:ascii="Times New Roman Bold" w:hAnsi="Times New Roman Bold" w:cs="Times New Roman" w:hint="default"/>
        <w:b/>
        <w:i w:val="0"/>
        <w:sz w:val="28"/>
        <w:szCs w:val="28"/>
      </w:rPr>
    </w:lvl>
    <w:lvl w:ilvl="1">
      <w:start w:val="1"/>
      <w:numFmt w:val="decimal"/>
      <w:pStyle w:val="pprag2"/>
      <w:lvlText w:val="%1.%2."/>
      <w:lvlJc w:val="left"/>
      <w:pPr>
        <w:tabs>
          <w:tab w:val="num" w:pos="284"/>
        </w:tabs>
        <w:ind w:left="567" w:hanging="567"/>
      </w:pPr>
      <w:rPr>
        <w:rFonts w:ascii="Times New Roman Bold" w:hAnsi="Times New Roman Bold" w:cs="Times New Roman" w:hint="default"/>
        <w:b/>
        <w:i w:val="0"/>
        <w:sz w:val="24"/>
        <w:szCs w:val="24"/>
      </w:rPr>
    </w:lvl>
    <w:lvl w:ilvl="2">
      <w:start w:val="1"/>
      <w:numFmt w:val="decimal"/>
      <w:lvlText w:val="%1.%2.%3."/>
      <w:lvlJc w:val="left"/>
      <w:pPr>
        <w:tabs>
          <w:tab w:val="num" w:pos="1080"/>
        </w:tabs>
        <w:ind w:left="1134" w:hanging="1134"/>
      </w:pPr>
      <w:rPr>
        <w:rFonts w:ascii="Times New Roman Bold" w:hAnsi="Times New Roman Bold" w:cs="Times New Roman" w:hint="default"/>
        <w:b/>
        <w:i w:val="0"/>
        <w:sz w:val="28"/>
      </w:rPr>
    </w:lvl>
    <w:lvl w:ilvl="3">
      <w:start w:val="1"/>
      <w:numFmt w:val="decimal"/>
      <w:pStyle w:val="pprag4"/>
      <w:lvlText w:val="%1.%2.%3.%4."/>
      <w:lvlJc w:val="left"/>
      <w:pPr>
        <w:tabs>
          <w:tab w:val="num" w:pos="1080"/>
        </w:tabs>
        <w:ind w:left="648" w:hanging="648"/>
      </w:pPr>
      <w:rPr>
        <w:rFonts w:cs="Times New Roman" w:hint="default"/>
      </w:rPr>
    </w:lvl>
    <w:lvl w:ilvl="4">
      <w:start w:val="1"/>
      <w:numFmt w:val="decimal"/>
      <w:pStyle w:val="pprag5"/>
      <w:lvlText w:val="%1.%2.%3.%4.%5."/>
      <w:lvlJc w:val="left"/>
      <w:pPr>
        <w:tabs>
          <w:tab w:val="num" w:pos="1800"/>
        </w:tabs>
        <w:ind w:left="1512" w:hanging="792"/>
      </w:pPr>
      <w:rPr>
        <w:rFonts w:cs="Times New Roman" w:hint="default"/>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4" w15:restartNumberingAfterBreak="0">
    <w:nsid w:val="66CF5EC3"/>
    <w:multiLevelType w:val="multilevel"/>
    <w:tmpl w:val="1CC40718"/>
    <w:lvl w:ilvl="0">
      <w:start w:val="1"/>
      <w:numFmt w:val="none"/>
      <w:pStyle w:val="ApplicationHeading1"/>
      <w:lvlText w:val="%1"/>
      <w:lvlJc w:val="left"/>
      <w:rPr>
        <w:rFonts w:cs="Times New Roman" w:hint="default"/>
        <w:b/>
        <w:i w:val="0"/>
      </w:rPr>
    </w:lvl>
    <w:lvl w:ilvl="1">
      <w:start w:val="1"/>
      <w:numFmt w:val="decimal"/>
      <w:pStyle w:val="ApplicationHeading2"/>
      <w:lvlText w:val="%1%2."/>
      <w:lvlJc w:val="left"/>
      <w:pPr>
        <w:ind w:left="576" w:hanging="576"/>
      </w:pPr>
      <w:rPr>
        <w:rFonts w:ascii="Times New Roman Bold" w:hAnsi="Times New Roman Bold" w:cs="Times New Roman" w:hint="default"/>
        <w:b/>
        <w:i w:val="0"/>
        <w:color w:val="auto"/>
        <w:sz w:val="28"/>
      </w:rPr>
    </w:lvl>
    <w:lvl w:ilvl="2">
      <w:start w:val="1"/>
      <w:numFmt w:val="decimal"/>
      <w:pStyle w:val="ApplicationHeading3"/>
      <w:lvlText w:val="%1%2.%3."/>
      <w:lvlJc w:val="left"/>
      <w:pPr>
        <w:ind w:left="720" w:hanging="720"/>
      </w:pPr>
      <w:rPr>
        <w:rFonts w:ascii="Times New Roman Bold" w:hAnsi="Times New Roman Bold" w:cs="Times New Roman" w:hint="default"/>
        <w:b/>
        <w:i w:val="0"/>
        <w:color w:val="auto"/>
        <w:sz w:val="24"/>
      </w:rPr>
    </w:lvl>
    <w:lvl w:ilvl="3">
      <w:start w:val="1"/>
      <w:numFmt w:val="decimal"/>
      <w:pStyle w:val="ApplicationHeading4"/>
      <w:lvlText w:val="%1%2.%3.%4."/>
      <w:lvlJc w:val="left"/>
      <w:pPr>
        <w:ind w:left="864" w:hanging="864"/>
      </w:pPr>
      <w:rPr>
        <w:rFonts w:ascii="Times New Roman Bold" w:hAnsi="Times New Roman Bold" w:cs="Times New Roman" w:hint="default"/>
        <w:b/>
        <w:i w:val="0"/>
        <w:sz w:val="24"/>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16cid:durableId="2085299668">
    <w:abstractNumId w:val="13"/>
  </w:num>
  <w:num w:numId="2" w16cid:durableId="1940480171">
    <w:abstractNumId w:val="14"/>
  </w:num>
  <w:num w:numId="3" w16cid:durableId="1070998323">
    <w:abstractNumId w:val="14"/>
  </w:num>
  <w:num w:numId="4" w16cid:durableId="2108497531">
    <w:abstractNumId w:val="14"/>
  </w:num>
  <w:num w:numId="5" w16cid:durableId="1560820644">
    <w:abstractNumId w:val="4"/>
  </w:num>
  <w:num w:numId="6" w16cid:durableId="277882872">
    <w:abstractNumId w:val="14"/>
  </w:num>
  <w:num w:numId="7" w16cid:durableId="622536308">
    <w:abstractNumId w:val="14"/>
  </w:num>
  <w:num w:numId="8" w16cid:durableId="1609384738">
    <w:abstractNumId w:val="14"/>
  </w:num>
  <w:num w:numId="9" w16cid:durableId="1478716619">
    <w:abstractNumId w:val="4"/>
  </w:num>
  <w:num w:numId="10" w16cid:durableId="1982345582">
    <w:abstractNumId w:val="5"/>
  </w:num>
  <w:num w:numId="11" w16cid:durableId="1048411662">
    <w:abstractNumId w:val="5"/>
  </w:num>
  <w:num w:numId="12" w16cid:durableId="844318953">
    <w:abstractNumId w:val="5"/>
  </w:num>
  <w:num w:numId="13" w16cid:durableId="1868324714">
    <w:abstractNumId w:val="5"/>
  </w:num>
  <w:num w:numId="14" w16cid:durableId="1394154327">
    <w:abstractNumId w:val="5"/>
  </w:num>
  <w:num w:numId="15" w16cid:durableId="1658069947">
    <w:abstractNumId w:val="0"/>
  </w:num>
  <w:num w:numId="16" w16cid:durableId="669867190">
    <w:abstractNumId w:val="3"/>
  </w:num>
  <w:num w:numId="17" w16cid:durableId="1655838354">
    <w:abstractNumId w:val="2"/>
  </w:num>
  <w:num w:numId="18" w16cid:durableId="1844395913">
    <w:abstractNumId w:val="12"/>
  </w:num>
  <w:num w:numId="19" w16cid:durableId="1599020924">
    <w:abstractNumId w:val="5"/>
  </w:num>
  <w:num w:numId="20" w16cid:durableId="815031385">
    <w:abstractNumId w:val="5"/>
  </w:num>
  <w:num w:numId="21" w16cid:durableId="859969191">
    <w:abstractNumId w:val="5"/>
  </w:num>
  <w:num w:numId="22" w16cid:durableId="898439497">
    <w:abstractNumId w:val="5"/>
  </w:num>
  <w:num w:numId="23" w16cid:durableId="2109813210">
    <w:abstractNumId w:val="5"/>
  </w:num>
  <w:num w:numId="24" w16cid:durableId="400446120">
    <w:abstractNumId w:val="0"/>
  </w:num>
  <w:num w:numId="25" w16cid:durableId="960920615">
    <w:abstractNumId w:val="3"/>
  </w:num>
  <w:num w:numId="26" w16cid:durableId="1151291318">
    <w:abstractNumId w:val="13"/>
  </w:num>
  <w:num w:numId="27" w16cid:durableId="728306005">
    <w:abstractNumId w:val="13"/>
  </w:num>
  <w:num w:numId="28" w16cid:durableId="173426523">
    <w:abstractNumId w:val="13"/>
  </w:num>
  <w:num w:numId="29" w16cid:durableId="294650199">
    <w:abstractNumId w:val="13"/>
  </w:num>
  <w:num w:numId="30" w16cid:durableId="1885209928">
    <w:abstractNumId w:val="13"/>
  </w:num>
  <w:num w:numId="31" w16cid:durableId="507645577">
    <w:abstractNumId w:val="13"/>
  </w:num>
  <w:num w:numId="32" w16cid:durableId="579561789">
    <w:abstractNumId w:val="1"/>
  </w:num>
  <w:num w:numId="33" w16cid:durableId="1021278111">
    <w:abstractNumId w:val="6"/>
  </w:num>
  <w:num w:numId="34" w16cid:durableId="1773547549">
    <w:abstractNumId w:val="10"/>
  </w:num>
  <w:num w:numId="35" w16cid:durableId="1633441193">
    <w:abstractNumId w:val="11"/>
  </w:num>
  <w:num w:numId="36" w16cid:durableId="1076394358">
    <w:abstractNumId w:val="9"/>
  </w:num>
  <w:num w:numId="37" w16cid:durableId="642855799">
    <w:abstractNumId w:val="7"/>
  </w:num>
  <w:num w:numId="38" w16cid:durableId="18213120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B21" w:allStyles="1" w:customStyles="0" w:latentStyles="0" w:stylesInUse="0" w:headingStyles="1" w:numberingStyles="0" w:tableStyles="0" w:directFormattingOnRuns="1" w:directFormattingOnParagraphs="1" w:directFormattingOnNumbering="0" w:directFormattingOnTables="1" w:clearFormatting="1" w:top3HeadingStyles="0" w:visibleStyles="0" w:alternateStyleNames="0"/>
  <w:doNotTrackMoves/>
  <w:defaultTabStop w:val="708"/>
  <w:hyphenationZone w:val="425"/>
  <w:characterSpacingControl w:val="doNotCompress"/>
  <w:hdrShapeDefaults>
    <o:shapedefaults v:ext="edit" spidmax="276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38536F"/>
    <w:rsid w:val="00010DBF"/>
    <w:rsid w:val="00033011"/>
    <w:rsid w:val="000514F1"/>
    <w:rsid w:val="000813CD"/>
    <w:rsid w:val="00097321"/>
    <w:rsid w:val="000B3E1D"/>
    <w:rsid w:val="000D03E3"/>
    <w:rsid w:val="000D05FD"/>
    <w:rsid w:val="000D3112"/>
    <w:rsid w:val="000F4A79"/>
    <w:rsid w:val="00101DDD"/>
    <w:rsid w:val="00124C31"/>
    <w:rsid w:val="001563EE"/>
    <w:rsid w:val="001604A5"/>
    <w:rsid w:val="00175C88"/>
    <w:rsid w:val="00183888"/>
    <w:rsid w:val="001A5FD7"/>
    <w:rsid w:val="001D131F"/>
    <w:rsid w:val="001D4F0F"/>
    <w:rsid w:val="001E1F7F"/>
    <w:rsid w:val="001F00B7"/>
    <w:rsid w:val="00235AF6"/>
    <w:rsid w:val="00244AB4"/>
    <w:rsid w:val="0024555A"/>
    <w:rsid w:val="002C06F9"/>
    <w:rsid w:val="002D68DC"/>
    <w:rsid w:val="00342AEC"/>
    <w:rsid w:val="00347E15"/>
    <w:rsid w:val="00353408"/>
    <w:rsid w:val="00370DAF"/>
    <w:rsid w:val="00375D5B"/>
    <w:rsid w:val="0037620A"/>
    <w:rsid w:val="0038536F"/>
    <w:rsid w:val="00397B5E"/>
    <w:rsid w:val="003B1588"/>
    <w:rsid w:val="003B2572"/>
    <w:rsid w:val="003B4557"/>
    <w:rsid w:val="003B6901"/>
    <w:rsid w:val="003C7E64"/>
    <w:rsid w:val="003D6B45"/>
    <w:rsid w:val="003E238C"/>
    <w:rsid w:val="00400F9A"/>
    <w:rsid w:val="00404179"/>
    <w:rsid w:val="00406712"/>
    <w:rsid w:val="00424BEB"/>
    <w:rsid w:val="004447D3"/>
    <w:rsid w:val="004472AA"/>
    <w:rsid w:val="004615D4"/>
    <w:rsid w:val="004D303D"/>
    <w:rsid w:val="004F1977"/>
    <w:rsid w:val="00505AF7"/>
    <w:rsid w:val="00511B56"/>
    <w:rsid w:val="005179D2"/>
    <w:rsid w:val="00535527"/>
    <w:rsid w:val="00545CDE"/>
    <w:rsid w:val="0054622E"/>
    <w:rsid w:val="00556981"/>
    <w:rsid w:val="00560561"/>
    <w:rsid w:val="0056571F"/>
    <w:rsid w:val="00565E4E"/>
    <w:rsid w:val="005A220B"/>
    <w:rsid w:val="005B757F"/>
    <w:rsid w:val="005D62F4"/>
    <w:rsid w:val="005D6310"/>
    <w:rsid w:val="00613EB2"/>
    <w:rsid w:val="00646B79"/>
    <w:rsid w:val="00646BAB"/>
    <w:rsid w:val="00655196"/>
    <w:rsid w:val="00655F4D"/>
    <w:rsid w:val="006753AE"/>
    <w:rsid w:val="00685063"/>
    <w:rsid w:val="006959C1"/>
    <w:rsid w:val="006B43CB"/>
    <w:rsid w:val="006E612A"/>
    <w:rsid w:val="00726C95"/>
    <w:rsid w:val="00744DAF"/>
    <w:rsid w:val="00750465"/>
    <w:rsid w:val="007B150B"/>
    <w:rsid w:val="007B7C77"/>
    <w:rsid w:val="007C494D"/>
    <w:rsid w:val="007E0ED7"/>
    <w:rsid w:val="007E12F9"/>
    <w:rsid w:val="007F7F03"/>
    <w:rsid w:val="0080380A"/>
    <w:rsid w:val="00830325"/>
    <w:rsid w:val="00842EDC"/>
    <w:rsid w:val="00851FEF"/>
    <w:rsid w:val="00882ABE"/>
    <w:rsid w:val="008A6EC9"/>
    <w:rsid w:val="008C1B2A"/>
    <w:rsid w:val="008D1CFE"/>
    <w:rsid w:val="008E47C5"/>
    <w:rsid w:val="008F03F3"/>
    <w:rsid w:val="009045C9"/>
    <w:rsid w:val="0093028D"/>
    <w:rsid w:val="009366C4"/>
    <w:rsid w:val="00942C0B"/>
    <w:rsid w:val="00951F58"/>
    <w:rsid w:val="00970D78"/>
    <w:rsid w:val="009775C8"/>
    <w:rsid w:val="00977A15"/>
    <w:rsid w:val="009C7812"/>
    <w:rsid w:val="009D1620"/>
    <w:rsid w:val="009E5036"/>
    <w:rsid w:val="009F52B8"/>
    <w:rsid w:val="00A13B0C"/>
    <w:rsid w:val="00A5219F"/>
    <w:rsid w:val="00A6435D"/>
    <w:rsid w:val="00A67212"/>
    <w:rsid w:val="00A740CF"/>
    <w:rsid w:val="00AA7B55"/>
    <w:rsid w:val="00AB53C7"/>
    <w:rsid w:val="00AB5C13"/>
    <w:rsid w:val="00AC42F1"/>
    <w:rsid w:val="00AD4739"/>
    <w:rsid w:val="00AF0E28"/>
    <w:rsid w:val="00B36C2C"/>
    <w:rsid w:val="00B41404"/>
    <w:rsid w:val="00B4233D"/>
    <w:rsid w:val="00B56626"/>
    <w:rsid w:val="00B62A2A"/>
    <w:rsid w:val="00BA01DF"/>
    <w:rsid w:val="00BB4CA6"/>
    <w:rsid w:val="00C520AF"/>
    <w:rsid w:val="00C74198"/>
    <w:rsid w:val="00C754BF"/>
    <w:rsid w:val="00C95B62"/>
    <w:rsid w:val="00CA3159"/>
    <w:rsid w:val="00CB52E0"/>
    <w:rsid w:val="00CC54B5"/>
    <w:rsid w:val="00CD1E40"/>
    <w:rsid w:val="00CF6F6C"/>
    <w:rsid w:val="00D02999"/>
    <w:rsid w:val="00D02E72"/>
    <w:rsid w:val="00D71F53"/>
    <w:rsid w:val="00D81788"/>
    <w:rsid w:val="00D87285"/>
    <w:rsid w:val="00D91137"/>
    <w:rsid w:val="00DA17A7"/>
    <w:rsid w:val="00DC363B"/>
    <w:rsid w:val="00DF5A98"/>
    <w:rsid w:val="00E54821"/>
    <w:rsid w:val="00F02B58"/>
    <w:rsid w:val="00F25554"/>
    <w:rsid w:val="00F354D0"/>
    <w:rsid w:val="00F41498"/>
    <w:rsid w:val="00F55C91"/>
    <w:rsid w:val="00F96CF0"/>
    <w:rsid w:val="00FA25E8"/>
    <w:rsid w:val="00FB3791"/>
    <w:rsid w:val="00FB64AE"/>
    <w:rsid w:val="00FC0CD6"/>
    <w:rsid w:val="00FE61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1868219E"/>
  <w15:chartTrackingRefBased/>
  <w15:docId w15:val="{89AE6B2D-B5C2-4D44-9559-33E3CAB2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caption" w:semiHidden="1" w:unhideWhenUsed="1"/>
    <w:lsdException w:name="footnote reference" w:semiHidden="1" w:unhideWhenUsed="1" w:qFormat="1"/>
    <w:lsdException w:name="annotation reference" w:semiHidden="1" w:uiPriority="99" w:unhideWhenUsed="1"/>
    <w:lsdException w:name="endnote reference" w:semiHidden="1" w:uiPriority="99" w:unhideWhenUsed="1"/>
    <w:lsdException w:name="Title" w:uiPriority="10"/>
    <w:lsdException w:name="Default Paragraph Font" w:semiHidden="1" w:uiPriority="1" w:unhideWhenUsed="1"/>
    <w:lsdException w:name="Subtitle" w:uiPriority="11"/>
    <w:lsdException w:name="Hyperlink" w:semiHidden="1" w:unhideWhenUsed="1"/>
    <w:lsdException w:name="FollowedHyperlink" w:semiHidden="1" w:uiPriority="99" w:unhideWhenUsed="1"/>
    <w:lsdException w:name="Strong" w:uiPriority="22"/>
    <w:lsdException w:name="Emphasis" w:uiPriority="20"/>
    <w:lsdException w:name="Document Map" w:semiHidden="1" w:uiPriority="99" w:unhideWhenUsed="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locked="1"/>
    <w:lsdException w:name="Outline List 2" w:semiHidden="1" w:uiPriority="99" w:unhideWhenUs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lsdException w:name="Table Grid" w:uiPriority="59"/>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36F"/>
    <w:rPr>
      <w:rFonts w:eastAsia="Times New Roman"/>
      <w:sz w:val="24"/>
      <w:lang w:eastAsia="en-US"/>
    </w:rPr>
  </w:style>
  <w:style w:type="paragraph" w:styleId="Heading1">
    <w:name w:val="heading 1"/>
    <w:basedOn w:val="Normal"/>
    <w:next w:val="Normal"/>
    <w:link w:val="Heading1Char"/>
    <w:uiPriority w:val="9"/>
    <w:rsid w:val="001F00B7"/>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rsid w:val="001F00B7"/>
    <w:pPr>
      <w:spacing w:before="200" w:line="271" w:lineRule="auto"/>
      <w:outlineLvl w:val="1"/>
    </w:pPr>
    <w:rPr>
      <w:smallCaps/>
      <w:sz w:val="28"/>
      <w:szCs w:val="28"/>
    </w:rPr>
  </w:style>
  <w:style w:type="paragraph" w:styleId="Heading3">
    <w:name w:val="heading 3"/>
    <w:basedOn w:val="Normal"/>
    <w:next w:val="Normal"/>
    <w:link w:val="Heading3Char"/>
    <w:uiPriority w:val="9"/>
    <w:unhideWhenUsed/>
    <w:rsid w:val="001F00B7"/>
    <w:pPr>
      <w:keepNext/>
      <w:keepLines/>
      <w:spacing w:before="200"/>
      <w:outlineLvl w:val="2"/>
    </w:pPr>
    <w:rPr>
      <w:rFonts w:ascii="Cambria" w:hAnsi="Cambria"/>
      <w:b/>
      <w:color w:val="4F81BD"/>
    </w:rPr>
  </w:style>
  <w:style w:type="paragraph" w:styleId="Heading4">
    <w:name w:val="heading 4"/>
    <w:basedOn w:val="Normal"/>
    <w:next w:val="Normal"/>
    <w:link w:val="Heading4Char"/>
    <w:uiPriority w:val="9"/>
    <w:rsid w:val="001F00B7"/>
    <w:pPr>
      <w:spacing w:line="271" w:lineRule="auto"/>
      <w:outlineLvl w:val="3"/>
    </w:pPr>
    <w:rPr>
      <w:b/>
      <w:bCs/>
      <w:spacing w:val="5"/>
      <w:szCs w:val="24"/>
    </w:rPr>
  </w:style>
  <w:style w:type="paragraph" w:styleId="Heading5">
    <w:name w:val="heading 5"/>
    <w:basedOn w:val="Normal"/>
    <w:next w:val="Normal"/>
    <w:link w:val="Heading5Char"/>
    <w:uiPriority w:val="9"/>
    <w:rsid w:val="001F00B7"/>
    <w:pPr>
      <w:spacing w:line="271" w:lineRule="auto"/>
      <w:outlineLvl w:val="4"/>
    </w:pPr>
    <w:rPr>
      <w:i/>
      <w:iCs/>
      <w:szCs w:val="24"/>
    </w:rPr>
  </w:style>
  <w:style w:type="paragraph" w:styleId="Heading6">
    <w:name w:val="heading 6"/>
    <w:basedOn w:val="Normal"/>
    <w:next w:val="Normal"/>
    <w:link w:val="Heading6Char"/>
    <w:uiPriority w:val="9"/>
    <w:rsid w:val="001F00B7"/>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rsid w:val="001F00B7"/>
    <w:pPr>
      <w:outlineLvl w:val="6"/>
    </w:pPr>
    <w:rPr>
      <w:b/>
      <w:bCs/>
      <w:i/>
      <w:iCs/>
      <w:color w:val="5A5A5A"/>
      <w:sz w:val="20"/>
    </w:rPr>
  </w:style>
  <w:style w:type="paragraph" w:styleId="Heading8">
    <w:name w:val="heading 8"/>
    <w:basedOn w:val="Normal"/>
    <w:next w:val="Normal"/>
    <w:link w:val="Heading8Char"/>
    <w:uiPriority w:val="9"/>
    <w:rsid w:val="001F00B7"/>
    <w:pPr>
      <w:outlineLvl w:val="7"/>
    </w:pPr>
    <w:rPr>
      <w:b/>
      <w:bCs/>
      <w:color w:val="7F7F7F"/>
      <w:sz w:val="20"/>
    </w:rPr>
  </w:style>
  <w:style w:type="paragraph" w:styleId="Heading9">
    <w:name w:val="heading 9"/>
    <w:basedOn w:val="Normal"/>
    <w:next w:val="Normal"/>
    <w:link w:val="Heading9Char"/>
    <w:uiPriority w:val="9"/>
    <w:rsid w:val="001F00B7"/>
    <w:pPr>
      <w:spacing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G">
    <w:name w:val="PRAG"/>
    <w:basedOn w:val="ManualNumPar1"/>
    <w:link w:val="PRAGChar"/>
    <w:qFormat/>
    <w:rsid w:val="00CF6F6C"/>
    <w:pPr>
      <w:spacing w:before="0"/>
      <w:ind w:left="538" w:hanging="357"/>
    </w:pPr>
    <w:rPr>
      <w:rFonts w:ascii="Calibri" w:hAnsi="Calibri"/>
      <w:lang w:eastAsia="x-none"/>
    </w:rPr>
  </w:style>
  <w:style w:type="character" w:customStyle="1" w:styleId="PRAGChar">
    <w:name w:val="PRAG Char"/>
    <w:link w:val="PRAG"/>
    <w:locked/>
    <w:rsid w:val="00CF6F6C"/>
    <w:rPr>
      <w:rFonts w:ascii="Calibri" w:eastAsia="Calibri" w:hAnsi="Calibri"/>
      <w:sz w:val="22"/>
      <w:lang w:val="fr-FR" w:eastAsia="x-none"/>
    </w:rPr>
  </w:style>
  <w:style w:type="paragraph" w:customStyle="1" w:styleId="ApplicationHeading1">
    <w:name w:val="Application Heading 1"/>
    <w:basedOn w:val="Normal"/>
    <w:next w:val="Normal"/>
    <w:autoRedefine/>
    <w:rsid w:val="0093028D"/>
    <w:pPr>
      <w:numPr>
        <w:numId w:val="8"/>
      </w:numPr>
      <w:spacing w:after="480"/>
      <w:jc w:val="center"/>
    </w:pPr>
    <w:rPr>
      <w:rFonts w:ascii="Times New Roman Bold" w:hAnsi="Times New Roman Bold"/>
      <w:b/>
      <w:caps/>
      <w:sz w:val="32"/>
      <w:szCs w:val="24"/>
      <w:lang w:eastAsia="en-GB"/>
    </w:rPr>
  </w:style>
  <w:style w:type="paragraph" w:customStyle="1" w:styleId="ApplicationHeading2">
    <w:name w:val="Application Heading 2"/>
    <w:basedOn w:val="Normal"/>
    <w:next w:val="Normal"/>
    <w:autoRedefine/>
    <w:rsid w:val="0093028D"/>
    <w:pPr>
      <w:numPr>
        <w:ilvl w:val="1"/>
        <w:numId w:val="8"/>
      </w:numPr>
      <w:spacing w:before="240" w:after="120"/>
    </w:pPr>
    <w:rPr>
      <w:rFonts w:ascii="Times New Roman Bold" w:hAnsi="Times New Roman Bold"/>
      <w:b/>
      <w:smallCaps/>
      <w:sz w:val="28"/>
      <w:szCs w:val="24"/>
      <w:lang w:eastAsia="en-GB"/>
    </w:rPr>
  </w:style>
  <w:style w:type="paragraph" w:customStyle="1" w:styleId="ApplicationHeading3">
    <w:name w:val="Application Heading 3"/>
    <w:basedOn w:val="Heading3"/>
    <w:autoRedefine/>
    <w:rsid w:val="0093028D"/>
    <w:pPr>
      <w:keepLines w:val="0"/>
      <w:numPr>
        <w:ilvl w:val="2"/>
        <w:numId w:val="8"/>
      </w:numPr>
      <w:spacing w:before="240" w:after="120"/>
    </w:pPr>
    <w:rPr>
      <w:rFonts w:ascii="Times New Roman Bold" w:eastAsia="Calibri" w:hAnsi="Times New Roman Bold"/>
      <w:bCs/>
      <w:smallCaps/>
      <w:color w:val="auto"/>
      <w:szCs w:val="26"/>
      <w:lang w:eastAsia="en-GB"/>
    </w:rPr>
  </w:style>
  <w:style w:type="character" w:customStyle="1" w:styleId="Heading3Char">
    <w:name w:val="Heading 3 Char"/>
    <w:link w:val="Heading3"/>
    <w:uiPriority w:val="9"/>
    <w:rsid w:val="001F00B7"/>
    <w:rPr>
      <w:rFonts w:ascii="Cambria" w:eastAsia="Times New Roman" w:hAnsi="Cambria" w:cs="Times New Roman"/>
      <w:b/>
      <w:color w:val="4F81BD"/>
      <w:sz w:val="22"/>
      <w:lang w:val="fr-FR" w:eastAsia="en-US"/>
    </w:rPr>
  </w:style>
  <w:style w:type="paragraph" w:customStyle="1" w:styleId="ApplicationHeading4">
    <w:name w:val="Application Heading 4"/>
    <w:basedOn w:val="Normal"/>
    <w:next w:val="Normal"/>
    <w:link w:val="ApplicationHeading4Char"/>
    <w:autoRedefine/>
    <w:rsid w:val="0093028D"/>
    <w:pPr>
      <w:numPr>
        <w:ilvl w:val="3"/>
        <w:numId w:val="6"/>
      </w:numPr>
      <w:tabs>
        <w:tab w:val="left" w:pos="851"/>
      </w:tabs>
      <w:spacing w:before="240" w:after="120"/>
    </w:pPr>
    <w:rPr>
      <w:rFonts w:ascii="Times New Roman Bold" w:hAnsi="Times New Roman Bold"/>
      <w:b/>
      <w:lang w:eastAsia="en-GB"/>
    </w:rPr>
  </w:style>
  <w:style w:type="character" w:customStyle="1" w:styleId="ApplicationHeading4Char">
    <w:name w:val="Application Heading 4 Char"/>
    <w:link w:val="ApplicationHeading4"/>
    <w:locked/>
    <w:rsid w:val="0093028D"/>
    <w:rPr>
      <w:rFonts w:ascii="Times New Roman Bold" w:eastAsia="Calibri" w:hAnsi="Times New Roman Bold"/>
      <w:b/>
      <w:sz w:val="24"/>
      <w:lang w:val="fr-FR" w:eastAsia="en-GB"/>
    </w:rPr>
  </w:style>
  <w:style w:type="character" w:styleId="FootnoteReference">
    <w:name w:val="footnote reference"/>
    <w:semiHidden/>
    <w:qFormat/>
    <w:rsid w:val="00CF6F6C"/>
    <w:rPr>
      <w:rFonts w:ascii="Times New Roman" w:hAnsi="Times New Roman" w:cs="Times New Roman"/>
      <w:sz w:val="16"/>
      <w:vertAlign w:val="superscript"/>
      <w:lang w:val="fr-FR" w:eastAsia="x-none"/>
    </w:rPr>
  </w:style>
  <w:style w:type="character" w:customStyle="1" w:styleId="Heading1Char">
    <w:name w:val="Heading 1 Char"/>
    <w:link w:val="Heading1"/>
    <w:uiPriority w:val="9"/>
    <w:rsid w:val="001F00B7"/>
    <w:rPr>
      <w:rFonts w:ascii="Cambria" w:eastAsia="Times New Roman" w:hAnsi="Cambria" w:cs="Times New Roman"/>
      <w:b/>
      <w:bCs/>
      <w:color w:val="365F91"/>
      <w:sz w:val="28"/>
      <w:szCs w:val="28"/>
      <w:lang w:eastAsia="en-US"/>
    </w:rPr>
  </w:style>
  <w:style w:type="paragraph" w:styleId="TOCHeading">
    <w:name w:val="TOC Heading"/>
    <w:basedOn w:val="Heading1"/>
    <w:next w:val="Normal"/>
    <w:uiPriority w:val="39"/>
    <w:unhideWhenUsed/>
    <w:qFormat/>
    <w:rsid w:val="00CF6F6C"/>
    <w:pPr>
      <w:keepLines w:val="0"/>
      <w:spacing w:before="240" w:after="60"/>
      <w:jc w:val="center"/>
      <w:outlineLvl w:val="9"/>
    </w:pPr>
    <w:rPr>
      <w:rFonts w:eastAsia="Calibri"/>
      <w:color w:val="auto"/>
      <w:kern w:val="32"/>
      <w:sz w:val="32"/>
      <w:szCs w:val="32"/>
    </w:rPr>
  </w:style>
  <w:style w:type="character" w:customStyle="1" w:styleId="Heading3Char1">
    <w:name w:val="Heading 3 Char1"/>
    <w:aliases w:val="Heading 3 Char Char"/>
    <w:semiHidden/>
    <w:rsid w:val="001F00B7"/>
    <w:rPr>
      <w:b/>
      <w:sz w:val="26"/>
      <w:lang w:val="fr-FR" w:eastAsia="en-GB"/>
    </w:rPr>
  </w:style>
  <w:style w:type="paragraph" w:customStyle="1" w:styleId="classification">
    <w:name w:val="classification"/>
    <w:basedOn w:val="Normal"/>
    <w:semiHidden/>
    <w:locked/>
    <w:rsid w:val="001F00B7"/>
    <w:pPr>
      <w:jc w:val="center"/>
    </w:pPr>
    <w:rPr>
      <w:rFonts w:ascii="Arial" w:hAnsi="Arial"/>
      <w:caps/>
    </w:rPr>
  </w:style>
  <w:style w:type="character" w:customStyle="1" w:styleId="StyleArial">
    <w:name w:val="Style Arial"/>
    <w:semiHidden/>
    <w:locked/>
    <w:rsid w:val="001F00B7"/>
    <w:rPr>
      <w:rFonts w:ascii="Arial" w:hAnsi="Arial"/>
    </w:rPr>
  </w:style>
  <w:style w:type="paragraph" w:customStyle="1" w:styleId="StyleLeft">
    <w:name w:val="Style Left"/>
    <w:basedOn w:val="Normal"/>
    <w:semiHidden/>
    <w:locked/>
    <w:rsid w:val="001F00B7"/>
  </w:style>
  <w:style w:type="paragraph" w:customStyle="1" w:styleId="StyleLeftBoxSinglesolidlineAuto05ptLinewidthChar">
    <w:name w:val="Style Left Box: (Single solid line Auto  05 pt Line width) Char"/>
    <w:basedOn w:val="Normal"/>
    <w:link w:val="StyleLeftBoxSinglesolidlineAuto05ptLinewidthCharChar1"/>
    <w:semiHidden/>
    <w:locked/>
    <w:rsid w:val="001F00B7"/>
    <w:pPr>
      <w:pBdr>
        <w:top w:val="single" w:sz="4" w:space="1" w:color="auto"/>
        <w:left w:val="single" w:sz="4" w:space="4" w:color="auto"/>
        <w:bottom w:val="single" w:sz="4" w:space="1" w:color="auto"/>
        <w:right w:val="single" w:sz="4" w:space="4" w:color="auto"/>
      </w:pBdr>
    </w:pPr>
  </w:style>
  <w:style w:type="character" w:customStyle="1" w:styleId="StyleLeftBoxSinglesolidlineAuto05ptLinewidthCharChar1">
    <w:name w:val="Style Left Box: (Single solid line Auto  05 pt Line width) Char Char1"/>
    <w:link w:val="StyleLeftBoxSinglesolidlineAuto05ptLinewidthChar"/>
    <w:semiHidden/>
    <w:locked/>
    <w:rsid w:val="001F00B7"/>
    <w:rPr>
      <w:rFonts w:ascii="Calibri" w:hAnsi="Calibri"/>
      <w:sz w:val="22"/>
      <w:lang w:eastAsia="en-US"/>
    </w:rPr>
  </w:style>
  <w:style w:type="paragraph" w:customStyle="1" w:styleId="Point1">
    <w:name w:val="Point 1"/>
    <w:basedOn w:val="Normal"/>
    <w:semiHidden/>
    <w:locked/>
    <w:rsid w:val="001F00B7"/>
    <w:pPr>
      <w:spacing w:before="120" w:after="120"/>
      <w:ind w:left="1418" w:hanging="567"/>
    </w:pPr>
    <w:rPr>
      <w:lang w:eastAsia="fr-BE"/>
    </w:rPr>
  </w:style>
  <w:style w:type="paragraph" w:customStyle="1" w:styleId="ManualNumPar1">
    <w:name w:val="Manual NumPar 1"/>
    <w:basedOn w:val="Normal"/>
    <w:next w:val="Normal"/>
    <w:link w:val="ManualNumPar1Char"/>
    <w:semiHidden/>
    <w:locked/>
    <w:rsid w:val="001F00B7"/>
    <w:pPr>
      <w:spacing w:before="120" w:after="120"/>
      <w:ind w:left="850" w:hanging="850"/>
    </w:pPr>
    <w:rPr>
      <w:lang w:eastAsia="en-GB"/>
    </w:rPr>
  </w:style>
  <w:style w:type="character" w:customStyle="1" w:styleId="ManualNumPar1Char">
    <w:name w:val="Manual NumPar 1 Char"/>
    <w:link w:val="ManualNumPar1"/>
    <w:semiHidden/>
    <w:locked/>
    <w:rsid w:val="001F00B7"/>
    <w:rPr>
      <w:rFonts w:ascii="Calibri" w:hAnsi="Calibri"/>
      <w:sz w:val="22"/>
      <w:lang w:eastAsia="en-GB"/>
    </w:rPr>
  </w:style>
  <w:style w:type="character" w:customStyle="1" w:styleId="tw4winMark">
    <w:name w:val="tw4winMark"/>
    <w:semiHidden/>
    <w:locked/>
    <w:rsid w:val="001F00B7"/>
    <w:rPr>
      <w:rFonts w:ascii="Times New Roman" w:hAnsi="Times New Roman"/>
      <w:vanish/>
      <w:color w:val="800080"/>
      <w:sz w:val="24"/>
      <w:vertAlign w:val="subscript"/>
    </w:rPr>
  </w:style>
  <w:style w:type="character" w:customStyle="1" w:styleId="explication">
    <w:name w:val="explication"/>
    <w:semiHidden/>
    <w:locked/>
    <w:rsid w:val="001F00B7"/>
    <w:rPr>
      <w:rFonts w:ascii="Verdana" w:hAnsi="Verdana"/>
      <w:i/>
      <w:color w:val="000000"/>
    </w:rPr>
  </w:style>
  <w:style w:type="paragraph" w:customStyle="1" w:styleId="1txt">
    <w:name w:val="1txt"/>
    <w:basedOn w:val="Normal"/>
    <w:semiHidden/>
    <w:locked/>
    <w:rsid w:val="001F00B7"/>
    <w:pPr>
      <w:ind w:left="1191"/>
    </w:pPr>
    <w:rPr>
      <w:rFonts w:ascii="Verdana" w:hAnsi="Verdana"/>
      <w:sz w:val="28"/>
    </w:rPr>
  </w:style>
  <w:style w:type="paragraph" w:customStyle="1" w:styleId="1exp">
    <w:name w:val="1exp"/>
    <w:basedOn w:val="Normal"/>
    <w:semiHidden/>
    <w:locked/>
    <w:rsid w:val="001F00B7"/>
    <w:pPr>
      <w:ind w:left="1077"/>
    </w:pPr>
    <w:rPr>
      <w:rFonts w:ascii="Verdana" w:hAnsi="Verdana"/>
      <w:i/>
      <w:sz w:val="28"/>
    </w:rPr>
  </w:style>
  <w:style w:type="character" w:customStyle="1" w:styleId="StyleLeftBoxSinglesolidlineAuto05ptLinewidthCharChar">
    <w:name w:val="Style Left Box: (Single solid line Auto  05 pt Line width) Char Char"/>
    <w:semiHidden/>
    <w:locked/>
    <w:rsid w:val="001F00B7"/>
    <w:rPr>
      <w:sz w:val="24"/>
      <w:lang w:val="fr-FR" w:eastAsia="en-GB"/>
    </w:rPr>
  </w:style>
  <w:style w:type="paragraph" w:customStyle="1" w:styleId="StyleHeading2NotBold">
    <w:name w:val="Style Heading 2 + Not Bold"/>
    <w:basedOn w:val="Normal"/>
    <w:semiHidden/>
    <w:locked/>
    <w:rsid w:val="001F00B7"/>
  </w:style>
  <w:style w:type="paragraph" w:customStyle="1" w:styleId="StyleLeftBoxSinglesolidlineAuto05ptLinewidth">
    <w:name w:val="Style Left Box: (Single solid line Auto  05 pt Line width)"/>
    <w:basedOn w:val="Normal"/>
    <w:semiHidden/>
    <w:locked/>
    <w:rsid w:val="001F00B7"/>
    <w:pPr>
      <w:pBdr>
        <w:top w:val="single" w:sz="4" w:space="1" w:color="auto"/>
        <w:left w:val="single" w:sz="4" w:space="4" w:color="auto"/>
        <w:bottom w:val="single" w:sz="4" w:space="1" w:color="auto"/>
        <w:right w:val="single" w:sz="4" w:space="4" w:color="auto"/>
      </w:pBdr>
    </w:pPr>
  </w:style>
  <w:style w:type="paragraph" w:customStyle="1" w:styleId="StyleHeading2NotItalicJustified">
    <w:name w:val="Style Heading 2 + Not Italic Justified"/>
    <w:basedOn w:val="Normal"/>
    <w:autoRedefine/>
    <w:semiHidden/>
    <w:locked/>
    <w:rsid w:val="001F00B7"/>
    <w:rPr>
      <w:i/>
      <w:iCs/>
    </w:rPr>
  </w:style>
  <w:style w:type="paragraph" w:customStyle="1" w:styleId="StyleHeading3">
    <w:name w:val="Style Heading 3"/>
    <w:aliases w:val="Heading 3 Char + 14 pt Justified"/>
    <w:basedOn w:val="Heading3"/>
    <w:autoRedefine/>
    <w:semiHidden/>
    <w:locked/>
    <w:rsid w:val="001F00B7"/>
    <w:rPr>
      <w:rFonts w:ascii="Times New Roman" w:hAnsi="Times New Roman"/>
      <w:sz w:val="28"/>
    </w:rPr>
  </w:style>
  <w:style w:type="paragraph" w:customStyle="1" w:styleId="StyleHeading4">
    <w:name w:val="Style Heading 4"/>
    <w:aliases w:val="Heading 4 Char + Justified"/>
    <w:basedOn w:val="Normal"/>
    <w:autoRedefine/>
    <w:semiHidden/>
    <w:locked/>
    <w:rsid w:val="001F00B7"/>
  </w:style>
  <w:style w:type="character" w:customStyle="1" w:styleId="Style11pt">
    <w:name w:val="Style 11 pt"/>
    <w:rsid w:val="001F00B7"/>
    <w:rPr>
      <w:sz w:val="22"/>
    </w:rPr>
  </w:style>
  <w:style w:type="paragraph" w:customStyle="1" w:styleId="pprag1">
    <w:name w:val="pprag 1"/>
    <w:basedOn w:val="Normal"/>
    <w:next w:val="Normal"/>
    <w:link w:val="pprag1Char"/>
    <w:autoRedefine/>
    <w:qFormat/>
    <w:rsid w:val="00CF6F6C"/>
    <w:pPr>
      <w:pageBreakBefore/>
      <w:widowControl w:val="0"/>
      <w:numPr>
        <w:numId w:val="31"/>
      </w:numPr>
      <w:spacing w:after="240"/>
      <w:outlineLvl w:val="0"/>
    </w:pPr>
    <w:rPr>
      <w:b/>
      <w:sz w:val="28"/>
      <w:lang w:eastAsia="fr-FR"/>
    </w:rPr>
  </w:style>
  <w:style w:type="character" w:customStyle="1" w:styleId="pprag1Char">
    <w:name w:val="pprag 1 Char"/>
    <w:link w:val="pprag1"/>
    <w:locked/>
    <w:rsid w:val="00CF6F6C"/>
    <w:rPr>
      <w:rFonts w:eastAsia="Calibri"/>
      <w:b/>
      <w:sz w:val="28"/>
      <w:lang w:val="fr-FR"/>
    </w:rPr>
  </w:style>
  <w:style w:type="paragraph" w:customStyle="1" w:styleId="pprag2">
    <w:name w:val="pprag 2"/>
    <w:basedOn w:val="Normal"/>
    <w:next w:val="Normal"/>
    <w:link w:val="pprag2Char"/>
    <w:autoRedefine/>
    <w:qFormat/>
    <w:rsid w:val="00CF6F6C"/>
    <w:pPr>
      <w:widowControl w:val="0"/>
      <w:numPr>
        <w:ilvl w:val="1"/>
        <w:numId w:val="31"/>
      </w:numPr>
      <w:tabs>
        <w:tab w:val="left" w:pos="851"/>
      </w:tabs>
      <w:spacing w:after="120"/>
      <w:outlineLvl w:val="1"/>
    </w:pPr>
    <w:rPr>
      <w:b/>
      <w:lang w:eastAsia="fr-FR"/>
    </w:rPr>
  </w:style>
  <w:style w:type="character" w:customStyle="1" w:styleId="pprag2Char">
    <w:name w:val="pprag 2 Char"/>
    <w:link w:val="pprag2"/>
    <w:locked/>
    <w:rsid w:val="00CF6F6C"/>
    <w:rPr>
      <w:rFonts w:eastAsia="Calibri"/>
      <w:b/>
      <w:sz w:val="24"/>
      <w:lang w:val="fr-FR"/>
    </w:rPr>
  </w:style>
  <w:style w:type="paragraph" w:customStyle="1" w:styleId="pprag4">
    <w:name w:val="pprag 4"/>
    <w:basedOn w:val="Normal"/>
    <w:next w:val="Normal"/>
    <w:link w:val="pprag4Char"/>
    <w:autoRedefine/>
    <w:qFormat/>
    <w:rsid w:val="00CF6F6C"/>
    <w:pPr>
      <w:widowControl w:val="0"/>
      <w:numPr>
        <w:ilvl w:val="3"/>
        <w:numId w:val="31"/>
      </w:numPr>
      <w:tabs>
        <w:tab w:val="left" w:pos="1134"/>
      </w:tabs>
      <w:spacing w:before="120" w:after="120"/>
      <w:outlineLvl w:val="3"/>
    </w:pPr>
    <w:rPr>
      <w:rFonts w:ascii="Times New Roman Bold" w:hAnsi="Times New Roman Bold"/>
      <w:b/>
      <w:bCs/>
      <w:sz w:val="26"/>
      <w:szCs w:val="28"/>
      <w:lang w:eastAsia="fr-FR"/>
    </w:rPr>
  </w:style>
  <w:style w:type="character" w:customStyle="1" w:styleId="pprag4Char">
    <w:name w:val="pprag 4 Char"/>
    <w:link w:val="pprag4"/>
    <w:locked/>
    <w:rsid w:val="00CF6F6C"/>
    <w:rPr>
      <w:rFonts w:ascii="Times New Roman Bold" w:eastAsia="Calibri" w:hAnsi="Times New Roman Bold"/>
      <w:b/>
      <w:bCs/>
      <w:sz w:val="26"/>
      <w:szCs w:val="28"/>
    </w:rPr>
  </w:style>
  <w:style w:type="paragraph" w:customStyle="1" w:styleId="StyleTITRE20pt">
    <w:name w:val="Style TITRE + 20 pt"/>
    <w:semiHidden/>
    <w:locked/>
    <w:rsid w:val="001F00B7"/>
    <w:pPr>
      <w:spacing w:line="276" w:lineRule="auto"/>
    </w:pPr>
    <w:rPr>
      <w:noProof/>
      <w:sz w:val="40"/>
      <w:szCs w:val="28"/>
    </w:rPr>
  </w:style>
  <w:style w:type="paragraph" w:customStyle="1" w:styleId="pprag5">
    <w:name w:val="pprag 5"/>
    <w:basedOn w:val="Normal"/>
    <w:link w:val="pprag5Char"/>
    <w:autoRedefine/>
    <w:qFormat/>
    <w:rsid w:val="00CF6F6C"/>
    <w:pPr>
      <w:numPr>
        <w:ilvl w:val="4"/>
        <w:numId w:val="31"/>
      </w:numPr>
      <w:tabs>
        <w:tab w:val="left" w:pos="1134"/>
      </w:tabs>
      <w:spacing w:before="120" w:after="120"/>
      <w:outlineLvl w:val="4"/>
    </w:pPr>
    <w:rPr>
      <w:rFonts w:ascii="Calibri" w:hAnsi="Calibri"/>
      <w:b/>
      <w:bCs/>
      <w:szCs w:val="24"/>
      <w:lang w:eastAsia="fr-FR"/>
    </w:rPr>
  </w:style>
  <w:style w:type="character" w:customStyle="1" w:styleId="pprag5Char">
    <w:name w:val="pprag 5 Char"/>
    <w:link w:val="pprag5"/>
    <w:locked/>
    <w:rsid w:val="00CF6F6C"/>
    <w:rPr>
      <w:rFonts w:ascii="Calibri" w:eastAsia="Calibri" w:hAnsi="Calibri"/>
      <w:b/>
      <w:bCs/>
      <w:sz w:val="24"/>
      <w:szCs w:val="24"/>
    </w:rPr>
  </w:style>
  <w:style w:type="paragraph" w:customStyle="1" w:styleId="Point2">
    <w:name w:val="Point 2"/>
    <w:basedOn w:val="Normal"/>
    <w:semiHidden/>
    <w:locked/>
    <w:rsid w:val="001F00B7"/>
    <w:pPr>
      <w:spacing w:before="120" w:after="120"/>
      <w:ind w:left="1984" w:hanging="567"/>
    </w:pPr>
    <w:rPr>
      <w:lang w:eastAsia="zh-CN"/>
    </w:rPr>
  </w:style>
  <w:style w:type="paragraph" w:customStyle="1" w:styleId="QuotedText">
    <w:name w:val="Quoted Text"/>
    <w:basedOn w:val="Normal"/>
    <w:semiHidden/>
    <w:locked/>
    <w:rsid w:val="001F00B7"/>
    <w:pPr>
      <w:spacing w:before="120" w:after="120"/>
      <w:ind w:left="1417"/>
    </w:pPr>
    <w:rPr>
      <w:lang w:eastAsia="zh-CN"/>
    </w:rPr>
  </w:style>
  <w:style w:type="paragraph" w:customStyle="1" w:styleId="Point0">
    <w:name w:val="Point 0"/>
    <w:basedOn w:val="Normal"/>
    <w:semiHidden/>
    <w:locked/>
    <w:rsid w:val="001F00B7"/>
    <w:pPr>
      <w:spacing w:before="120" w:after="120"/>
      <w:ind w:left="850" w:hanging="850"/>
    </w:pPr>
    <w:rPr>
      <w:lang w:eastAsia="zh-CN"/>
    </w:rPr>
  </w:style>
  <w:style w:type="paragraph" w:customStyle="1" w:styleId="StyleBoldAfter6pt">
    <w:name w:val="Style Bold After:  6 pt"/>
    <w:basedOn w:val="Normal"/>
    <w:autoRedefine/>
    <w:semiHidden/>
    <w:locked/>
    <w:rsid w:val="001F00B7"/>
    <w:pPr>
      <w:keepNext/>
      <w:spacing w:before="240" w:after="120"/>
    </w:pPr>
    <w:rPr>
      <w:b/>
      <w:bCs/>
      <w:u w:val="single"/>
    </w:rPr>
  </w:style>
  <w:style w:type="numbering" w:customStyle="1" w:styleId="Style2">
    <w:name w:val="Style2"/>
    <w:rsid w:val="001F00B7"/>
    <w:pPr>
      <w:numPr>
        <w:numId w:val="15"/>
      </w:numPr>
    </w:pPr>
  </w:style>
  <w:style w:type="numbering" w:customStyle="1" w:styleId="CurrentList1">
    <w:name w:val="Current List1"/>
    <w:rsid w:val="001F00B7"/>
    <w:pPr>
      <w:numPr>
        <w:numId w:val="16"/>
      </w:numPr>
    </w:pPr>
  </w:style>
  <w:style w:type="character" w:customStyle="1" w:styleId="Heading2Char">
    <w:name w:val="Heading 2 Char"/>
    <w:link w:val="Heading2"/>
    <w:uiPriority w:val="9"/>
    <w:rsid w:val="001F00B7"/>
    <w:rPr>
      <w:rFonts w:ascii="Calibri" w:hAnsi="Calibri"/>
      <w:smallCaps/>
      <w:sz w:val="28"/>
      <w:szCs w:val="28"/>
      <w:lang w:eastAsia="en-US"/>
    </w:rPr>
  </w:style>
  <w:style w:type="character" w:customStyle="1" w:styleId="Heading4Char">
    <w:name w:val="Heading 4 Char"/>
    <w:link w:val="Heading4"/>
    <w:uiPriority w:val="9"/>
    <w:rsid w:val="001F00B7"/>
    <w:rPr>
      <w:rFonts w:ascii="Calibri" w:hAnsi="Calibri"/>
      <w:b/>
      <w:bCs/>
      <w:spacing w:val="5"/>
      <w:sz w:val="24"/>
      <w:szCs w:val="24"/>
      <w:lang w:eastAsia="en-US"/>
    </w:rPr>
  </w:style>
  <w:style w:type="character" w:customStyle="1" w:styleId="Heading5Char">
    <w:name w:val="Heading 5 Char"/>
    <w:link w:val="Heading5"/>
    <w:uiPriority w:val="9"/>
    <w:rsid w:val="001F00B7"/>
    <w:rPr>
      <w:rFonts w:ascii="Calibri" w:hAnsi="Calibri"/>
      <w:i/>
      <w:iCs/>
      <w:sz w:val="24"/>
      <w:szCs w:val="24"/>
      <w:lang w:eastAsia="en-US"/>
    </w:rPr>
  </w:style>
  <w:style w:type="character" w:customStyle="1" w:styleId="Heading6Char">
    <w:name w:val="Heading 6 Char"/>
    <w:link w:val="Heading6"/>
    <w:uiPriority w:val="9"/>
    <w:rsid w:val="001F00B7"/>
    <w:rPr>
      <w:rFonts w:ascii="Calibri" w:hAnsi="Calibri"/>
      <w:b/>
      <w:bCs/>
      <w:color w:val="595959"/>
      <w:spacing w:val="5"/>
      <w:sz w:val="22"/>
      <w:szCs w:val="22"/>
      <w:shd w:val="clear" w:color="auto" w:fill="FFFFFF"/>
      <w:lang w:eastAsia="en-US"/>
    </w:rPr>
  </w:style>
  <w:style w:type="character" w:customStyle="1" w:styleId="Heading7Char">
    <w:name w:val="Heading 7 Char"/>
    <w:link w:val="Heading7"/>
    <w:uiPriority w:val="9"/>
    <w:rsid w:val="001F00B7"/>
    <w:rPr>
      <w:rFonts w:ascii="Calibri" w:hAnsi="Calibri"/>
      <w:b/>
      <w:bCs/>
      <w:i/>
      <w:iCs/>
      <w:color w:val="5A5A5A"/>
      <w:lang w:eastAsia="en-US"/>
    </w:rPr>
  </w:style>
  <w:style w:type="character" w:customStyle="1" w:styleId="Heading8Char">
    <w:name w:val="Heading 8 Char"/>
    <w:link w:val="Heading8"/>
    <w:uiPriority w:val="9"/>
    <w:rsid w:val="001F00B7"/>
    <w:rPr>
      <w:rFonts w:ascii="Calibri" w:hAnsi="Calibri"/>
      <w:b/>
      <w:bCs/>
      <w:color w:val="7F7F7F"/>
      <w:lang w:eastAsia="en-US"/>
    </w:rPr>
  </w:style>
  <w:style w:type="character" w:customStyle="1" w:styleId="Heading9Char">
    <w:name w:val="Heading 9 Char"/>
    <w:link w:val="Heading9"/>
    <w:uiPriority w:val="9"/>
    <w:rsid w:val="001F00B7"/>
    <w:rPr>
      <w:rFonts w:ascii="Calibri" w:hAnsi="Calibri"/>
      <w:b/>
      <w:bCs/>
      <w:i/>
      <w:iCs/>
      <w:color w:val="7F7F7F"/>
      <w:sz w:val="18"/>
      <w:szCs w:val="18"/>
      <w:lang w:eastAsia="en-US"/>
    </w:rPr>
  </w:style>
  <w:style w:type="paragraph" w:styleId="Index1">
    <w:name w:val="index 1"/>
    <w:basedOn w:val="Normal"/>
    <w:next w:val="Normal"/>
    <w:autoRedefine/>
    <w:uiPriority w:val="99"/>
    <w:semiHidden/>
    <w:rsid w:val="001F00B7"/>
    <w:pPr>
      <w:ind w:left="240" w:hanging="240"/>
    </w:pPr>
  </w:style>
  <w:style w:type="paragraph" w:styleId="TOC1">
    <w:name w:val="toc 1"/>
    <w:basedOn w:val="Normal"/>
    <w:next w:val="Normal"/>
    <w:autoRedefine/>
    <w:uiPriority w:val="39"/>
    <w:rsid w:val="001F00B7"/>
    <w:pPr>
      <w:tabs>
        <w:tab w:val="left" w:pos="284"/>
        <w:tab w:val="right" w:leader="dot" w:pos="9072"/>
      </w:tabs>
      <w:spacing w:before="120" w:after="120"/>
      <w:ind w:left="284" w:hanging="284"/>
    </w:pPr>
    <w:rPr>
      <w:rFonts w:ascii="Times New Roman Bold" w:hAnsi="Times New Roman Bold"/>
      <w:b/>
      <w:smallCaps/>
      <w:sz w:val="28"/>
    </w:rPr>
  </w:style>
  <w:style w:type="paragraph" w:styleId="TOC2">
    <w:name w:val="toc 2"/>
    <w:basedOn w:val="Normal"/>
    <w:next w:val="Normal"/>
    <w:autoRedefine/>
    <w:uiPriority w:val="39"/>
    <w:rsid w:val="001F00B7"/>
    <w:pPr>
      <w:tabs>
        <w:tab w:val="left" w:pos="567"/>
        <w:tab w:val="right" w:pos="9072"/>
      </w:tabs>
      <w:spacing w:after="60"/>
      <w:ind w:left="851" w:right="851" w:hanging="567"/>
    </w:pPr>
  </w:style>
  <w:style w:type="paragraph" w:styleId="TOC3">
    <w:name w:val="toc 3"/>
    <w:basedOn w:val="Normal"/>
    <w:next w:val="Normal"/>
    <w:autoRedefine/>
    <w:uiPriority w:val="39"/>
    <w:rsid w:val="001F00B7"/>
    <w:pPr>
      <w:tabs>
        <w:tab w:val="left" w:pos="1247"/>
        <w:tab w:val="right" w:pos="9072"/>
      </w:tabs>
      <w:spacing w:after="40"/>
      <w:ind w:left="1418" w:right="851" w:hanging="851"/>
    </w:pPr>
    <w:rPr>
      <w:rFonts w:ascii="Times New Roman Bold" w:hAnsi="Times New Roman Bold"/>
      <w:noProof/>
    </w:rPr>
  </w:style>
  <w:style w:type="paragraph" w:styleId="TOC4">
    <w:name w:val="toc 4"/>
    <w:basedOn w:val="Normal"/>
    <w:next w:val="Normal"/>
    <w:autoRedefine/>
    <w:uiPriority w:val="39"/>
    <w:rsid w:val="001F00B7"/>
    <w:pPr>
      <w:tabs>
        <w:tab w:val="left" w:pos="1021"/>
        <w:tab w:val="right" w:pos="9072"/>
      </w:tabs>
      <w:spacing w:after="40"/>
      <w:ind w:left="1702" w:hanging="851"/>
    </w:pPr>
    <w:rPr>
      <w:sz w:val="20"/>
    </w:rPr>
  </w:style>
  <w:style w:type="paragraph" w:styleId="TOC5">
    <w:name w:val="toc 5"/>
    <w:basedOn w:val="Normal"/>
    <w:next w:val="Normal"/>
    <w:autoRedefine/>
    <w:uiPriority w:val="39"/>
    <w:rsid w:val="001F00B7"/>
    <w:pPr>
      <w:tabs>
        <w:tab w:val="left" w:pos="2100"/>
        <w:tab w:val="right" w:pos="9072"/>
      </w:tabs>
      <w:spacing w:after="40"/>
      <w:ind w:left="2098" w:hanging="1140"/>
    </w:pPr>
    <w:rPr>
      <w:sz w:val="20"/>
    </w:rPr>
  </w:style>
  <w:style w:type="paragraph" w:styleId="TOC6">
    <w:name w:val="toc 6"/>
    <w:basedOn w:val="Normal"/>
    <w:next w:val="Normal"/>
    <w:autoRedefine/>
    <w:uiPriority w:val="39"/>
    <w:rsid w:val="001F00B7"/>
    <w:pPr>
      <w:ind w:left="1200"/>
    </w:pPr>
  </w:style>
  <w:style w:type="paragraph" w:styleId="TOC7">
    <w:name w:val="toc 7"/>
    <w:basedOn w:val="Normal"/>
    <w:next w:val="Normal"/>
    <w:autoRedefine/>
    <w:uiPriority w:val="39"/>
    <w:rsid w:val="001F00B7"/>
    <w:pPr>
      <w:ind w:left="1440"/>
    </w:pPr>
  </w:style>
  <w:style w:type="paragraph" w:styleId="TOC8">
    <w:name w:val="toc 8"/>
    <w:basedOn w:val="Normal"/>
    <w:next w:val="Normal"/>
    <w:autoRedefine/>
    <w:uiPriority w:val="39"/>
    <w:rsid w:val="001F00B7"/>
    <w:pPr>
      <w:ind w:left="1680"/>
    </w:pPr>
  </w:style>
  <w:style w:type="paragraph" w:styleId="TOC9">
    <w:name w:val="toc 9"/>
    <w:basedOn w:val="Normal"/>
    <w:next w:val="Normal"/>
    <w:autoRedefine/>
    <w:uiPriority w:val="39"/>
    <w:rsid w:val="001F00B7"/>
    <w:pPr>
      <w:ind w:left="1920"/>
    </w:pPr>
  </w:style>
  <w:style w:type="paragraph" w:styleId="FootnoteText">
    <w:name w:val="footnote text"/>
    <w:basedOn w:val="Normal"/>
    <w:link w:val="FootnoteTextChar"/>
    <w:autoRedefine/>
    <w:rsid w:val="00CA3159"/>
    <w:pPr>
      <w:spacing w:after="120" w:line="276" w:lineRule="auto"/>
      <w:ind w:left="142" w:hanging="142"/>
      <w:jc w:val="both"/>
    </w:pPr>
    <w:rPr>
      <w:sz w:val="20"/>
    </w:rPr>
  </w:style>
  <w:style w:type="character" w:customStyle="1" w:styleId="FootnoteTextChar">
    <w:name w:val="Footnote Text Char"/>
    <w:link w:val="FootnoteText"/>
    <w:rsid w:val="00CA3159"/>
    <w:rPr>
      <w:rFonts w:eastAsia="Times New Roman"/>
      <w:lang w:eastAsia="en-US"/>
    </w:rPr>
  </w:style>
  <w:style w:type="paragraph" w:styleId="CommentText">
    <w:name w:val="annotation text"/>
    <w:basedOn w:val="Normal"/>
    <w:link w:val="CommentTextChar"/>
    <w:uiPriority w:val="99"/>
    <w:semiHidden/>
    <w:rsid w:val="001F00B7"/>
    <w:rPr>
      <w:sz w:val="20"/>
    </w:rPr>
  </w:style>
  <w:style w:type="character" w:customStyle="1" w:styleId="CommentTextChar">
    <w:name w:val="Comment Text Char"/>
    <w:link w:val="CommentText"/>
    <w:uiPriority w:val="99"/>
    <w:semiHidden/>
    <w:rsid w:val="001F00B7"/>
    <w:rPr>
      <w:rFonts w:ascii="Calibri" w:hAnsi="Calibri"/>
      <w:lang w:eastAsia="en-US"/>
    </w:rPr>
  </w:style>
  <w:style w:type="paragraph" w:styleId="Header">
    <w:name w:val="header"/>
    <w:basedOn w:val="Normal"/>
    <w:link w:val="HeaderChar"/>
    <w:rsid w:val="001F00B7"/>
    <w:pPr>
      <w:tabs>
        <w:tab w:val="center" w:pos="4536"/>
        <w:tab w:val="right" w:pos="9072"/>
      </w:tabs>
    </w:pPr>
  </w:style>
  <w:style w:type="character" w:customStyle="1" w:styleId="HeaderChar">
    <w:name w:val="Header Char"/>
    <w:link w:val="Header"/>
    <w:uiPriority w:val="99"/>
    <w:rsid w:val="001F00B7"/>
    <w:rPr>
      <w:rFonts w:ascii="Calibri" w:hAnsi="Calibri"/>
      <w:sz w:val="22"/>
      <w:szCs w:val="22"/>
      <w:lang w:eastAsia="en-US"/>
    </w:rPr>
  </w:style>
  <w:style w:type="paragraph" w:styleId="Footer">
    <w:name w:val="footer"/>
    <w:basedOn w:val="Normal"/>
    <w:link w:val="FooterChar"/>
    <w:rsid w:val="001F00B7"/>
    <w:pPr>
      <w:tabs>
        <w:tab w:val="center" w:pos="4536"/>
        <w:tab w:val="right" w:pos="9072"/>
      </w:tabs>
    </w:pPr>
  </w:style>
  <w:style w:type="character" w:customStyle="1" w:styleId="FooterChar">
    <w:name w:val="Footer Char"/>
    <w:link w:val="Footer"/>
    <w:uiPriority w:val="99"/>
    <w:rsid w:val="001F00B7"/>
    <w:rPr>
      <w:rFonts w:ascii="Calibri" w:hAnsi="Calibri"/>
      <w:sz w:val="22"/>
      <w:szCs w:val="22"/>
      <w:lang w:eastAsia="en-US"/>
    </w:rPr>
  </w:style>
  <w:style w:type="character" w:styleId="CommentReference">
    <w:name w:val="annotation reference"/>
    <w:uiPriority w:val="99"/>
    <w:semiHidden/>
    <w:rsid w:val="001F00B7"/>
    <w:rPr>
      <w:sz w:val="16"/>
    </w:rPr>
  </w:style>
  <w:style w:type="character" w:styleId="EndnoteReference">
    <w:name w:val="endnote reference"/>
    <w:uiPriority w:val="99"/>
    <w:semiHidden/>
    <w:rsid w:val="001F00B7"/>
    <w:rPr>
      <w:rFonts w:ascii="Times New Roman" w:hAnsi="Times New Roman"/>
      <w:sz w:val="20"/>
      <w:vertAlign w:val="superscript"/>
    </w:rPr>
  </w:style>
  <w:style w:type="character" w:styleId="Hyperlink">
    <w:name w:val="Hyperlink"/>
    <w:rsid w:val="001F00B7"/>
    <w:rPr>
      <w:color w:val="0000FF"/>
      <w:u w:val="single"/>
    </w:rPr>
  </w:style>
  <w:style w:type="character" w:styleId="FollowedHyperlink">
    <w:name w:val="FollowedHyperlink"/>
    <w:uiPriority w:val="99"/>
    <w:rsid w:val="001F00B7"/>
    <w:rPr>
      <w:color w:val="800080"/>
      <w:u w:val="single"/>
    </w:rPr>
  </w:style>
  <w:style w:type="paragraph" w:styleId="DocumentMap">
    <w:name w:val="Document Map"/>
    <w:basedOn w:val="Normal"/>
    <w:link w:val="DocumentMapChar"/>
    <w:uiPriority w:val="99"/>
    <w:semiHidden/>
    <w:rsid w:val="001F00B7"/>
    <w:pPr>
      <w:shd w:val="clear" w:color="auto" w:fill="000080"/>
    </w:pPr>
    <w:rPr>
      <w:rFonts w:ascii="Tahoma" w:hAnsi="Tahoma" w:cs="Tahoma"/>
    </w:rPr>
  </w:style>
  <w:style w:type="character" w:customStyle="1" w:styleId="DocumentMapChar">
    <w:name w:val="Document Map Char"/>
    <w:link w:val="DocumentMap"/>
    <w:uiPriority w:val="99"/>
    <w:semiHidden/>
    <w:rsid w:val="001F00B7"/>
    <w:rPr>
      <w:rFonts w:ascii="Tahoma" w:hAnsi="Tahoma" w:cs="Tahoma"/>
      <w:sz w:val="22"/>
      <w:szCs w:val="22"/>
      <w:shd w:val="clear" w:color="auto" w:fill="000080"/>
      <w:lang w:eastAsia="en-US"/>
    </w:rPr>
  </w:style>
  <w:style w:type="paragraph" w:styleId="CommentSubject">
    <w:name w:val="annotation subject"/>
    <w:basedOn w:val="CommentText"/>
    <w:next w:val="CommentText"/>
    <w:link w:val="CommentSubjectChar"/>
    <w:uiPriority w:val="99"/>
    <w:semiHidden/>
    <w:rsid w:val="001F00B7"/>
    <w:rPr>
      <w:b/>
      <w:bCs/>
    </w:rPr>
  </w:style>
  <w:style w:type="character" w:customStyle="1" w:styleId="CommentSubjectChar">
    <w:name w:val="Comment Subject Char"/>
    <w:link w:val="CommentSubject"/>
    <w:uiPriority w:val="99"/>
    <w:semiHidden/>
    <w:rsid w:val="001F00B7"/>
    <w:rPr>
      <w:rFonts w:ascii="Calibri" w:hAnsi="Calibri"/>
      <w:b/>
      <w:bCs/>
      <w:lang w:eastAsia="en-US"/>
    </w:rPr>
  </w:style>
  <w:style w:type="numbering" w:styleId="111111">
    <w:name w:val="Outline List 2"/>
    <w:basedOn w:val="NoList"/>
    <w:uiPriority w:val="99"/>
    <w:semiHidden/>
    <w:unhideWhenUsed/>
    <w:rsid w:val="001F00B7"/>
    <w:pPr>
      <w:numPr>
        <w:numId w:val="18"/>
      </w:numPr>
    </w:pPr>
  </w:style>
  <w:style w:type="paragraph" w:styleId="BalloonText">
    <w:name w:val="Balloon Text"/>
    <w:basedOn w:val="Normal"/>
    <w:link w:val="BalloonTextChar"/>
    <w:uiPriority w:val="99"/>
    <w:semiHidden/>
    <w:rsid w:val="001F00B7"/>
    <w:rPr>
      <w:rFonts w:ascii="Tahoma" w:hAnsi="Tahoma" w:cs="Tahoma"/>
      <w:sz w:val="16"/>
      <w:szCs w:val="16"/>
    </w:rPr>
  </w:style>
  <w:style w:type="character" w:customStyle="1" w:styleId="BalloonTextChar">
    <w:name w:val="Balloon Text Char"/>
    <w:link w:val="BalloonText"/>
    <w:uiPriority w:val="99"/>
    <w:semiHidden/>
    <w:rsid w:val="001F00B7"/>
    <w:rPr>
      <w:rFonts w:ascii="Tahoma" w:hAnsi="Tahoma" w:cs="Tahoma"/>
      <w:sz w:val="16"/>
      <w:szCs w:val="16"/>
      <w:lang w:eastAsia="en-US"/>
    </w:rPr>
  </w:style>
  <w:style w:type="table" w:styleId="TableGrid">
    <w:name w:val="Table Grid"/>
    <w:basedOn w:val="TableNormal"/>
    <w:uiPriority w:val="59"/>
    <w:rsid w:val="001F0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3">
    <w:name w:val="pprag3"/>
    <w:basedOn w:val="Normal"/>
    <w:next w:val="Normal"/>
    <w:link w:val="pprag3Char"/>
    <w:autoRedefine/>
    <w:qFormat/>
    <w:rsid w:val="00CF6F6C"/>
    <w:pPr>
      <w:widowControl w:val="0"/>
      <w:tabs>
        <w:tab w:val="left" w:pos="851"/>
        <w:tab w:val="num" w:pos="1080"/>
      </w:tabs>
      <w:spacing w:before="240" w:after="120"/>
      <w:ind w:left="1134" w:hanging="1134"/>
      <w:outlineLvl w:val="2"/>
    </w:pPr>
    <w:rPr>
      <w:rFonts w:ascii="Times New Roman Bold" w:hAnsi="Times New Roman Bold"/>
      <w:b/>
      <w:sz w:val="28"/>
      <w:szCs w:val="28"/>
      <w:lang w:eastAsia="fr-FR"/>
    </w:rPr>
  </w:style>
  <w:style w:type="character" w:customStyle="1" w:styleId="pprag3Char">
    <w:name w:val="pprag3 Char"/>
    <w:link w:val="pprag3"/>
    <w:locked/>
    <w:rsid w:val="00CF6F6C"/>
    <w:rPr>
      <w:rFonts w:ascii="Times New Roman Bold" w:eastAsia="Calibri" w:hAnsi="Times New Roman Bold"/>
      <w:b/>
      <w:sz w:val="28"/>
      <w:szCs w:val="28"/>
    </w:rPr>
  </w:style>
  <w:style w:type="paragraph" w:customStyle="1" w:styleId="Text2">
    <w:name w:val="Text 2"/>
    <w:basedOn w:val="Normal"/>
    <w:rsid w:val="0038536F"/>
    <w:pPr>
      <w:tabs>
        <w:tab w:val="left" w:pos="2161"/>
      </w:tabs>
      <w:spacing w:after="240"/>
      <w:ind w:left="1077"/>
    </w:pPr>
  </w:style>
  <w:style w:type="paragraph" w:styleId="ListParagraph">
    <w:name w:val="List Paragraph"/>
    <w:basedOn w:val="Normal"/>
    <w:uiPriority w:val="34"/>
    <w:rsid w:val="005D62F4"/>
    <w:pPr>
      <w:ind w:left="720"/>
    </w:pPr>
  </w:style>
  <w:style w:type="paragraph" w:styleId="Revision">
    <w:name w:val="Revision"/>
    <w:hidden/>
    <w:uiPriority w:val="99"/>
    <w:semiHidden/>
    <w:rsid w:val="00A13B0C"/>
    <w:rPr>
      <w:rFonts w:eastAsia="Times New Roman"/>
      <w:sz w:val="24"/>
      <w:lang w:eastAsia="en-US"/>
    </w:rPr>
  </w:style>
  <w:style w:type="character" w:customStyle="1" w:styleId="Bodytext1">
    <w:name w:val="Body text|1_"/>
    <w:link w:val="Bodytext10"/>
    <w:rsid w:val="00646BAB"/>
    <w:rPr>
      <w:sz w:val="22"/>
      <w:szCs w:val="22"/>
    </w:rPr>
  </w:style>
  <w:style w:type="paragraph" w:customStyle="1" w:styleId="Bodytext10">
    <w:name w:val="Body text|1"/>
    <w:basedOn w:val="Normal"/>
    <w:link w:val="Bodytext1"/>
    <w:rsid w:val="00646BAB"/>
    <w:pPr>
      <w:widowControl w:val="0"/>
      <w:spacing w:after="220"/>
    </w:pPr>
    <w:rPr>
      <w:rFonts w:eastAsia="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B8796-A13C-4171-AE91-B0FC2DA4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2232</Words>
  <Characters>12952</Characters>
  <Application>Microsoft Office Word</Application>
  <DocSecurity>0</DocSecurity>
  <Lines>193</Lines>
  <Paragraphs>60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DUBOIS Laurence (DEVCO)</dc:creator>
  <cp:keywords/>
  <cp:lastModifiedBy>FLAMENT Olivier (INTPA)</cp:lastModifiedBy>
  <cp:revision>4</cp:revision>
  <cp:lastPrinted>2019-01-07T12:04:00Z</cp:lastPrinted>
  <dcterms:created xsi:type="dcterms:W3CDTF">2024-11-05T11:17:00Z</dcterms:created>
  <dcterms:modified xsi:type="dcterms:W3CDTF">2024-11-06T17:12:00Z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2024-05-06T09:54:46Z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a91c6de5-5767-4607-98e1-2b5ce0255f04</vt:lpwstr>
  </property>
  <property fmtid="{D5CDD505-2E9C-101B-9397-08002B2CF9AE}" pid="8" name="MSIP_Label_6bd9ddd1-4d20-43f6-abfa-fc3c07406f94_ContentBits">
    <vt:lpwstr>0</vt:lpwstr>
  </property>
</Properties>
</file>